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3021" w14:textId="77777777" w:rsidR="00AF2883" w:rsidRPr="00ED60F0" w:rsidRDefault="00AF2883" w:rsidP="00ED4B7E">
      <w:pPr>
        <w:suppressAutoHyphens/>
        <w:spacing w:after="120" w:line="240" w:lineRule="auto"/>
        <w:ind w:right="567"/>
        <w:rPr>
          <w:rFonts w:ascii="Arial" w:hAnsi="Arial" w:cs="Arial"/>
          <w:b/>
          <w:color w:val="0079BA"/>
          <w:sz w:val="44"/>
          <w:szCs w:val="44"/>
        </w:rPr>
      </w:pPr>
      <w:bookmarkStart w:id="0" w:name="_Hlk191298630"/>
      <w:bookmarkStart w:id="1" w:name="_Hlk191298772"/>
      <w:r w:rsidRPr="00ED60F0">
        <w:rPr>
          <w:rFonts w:ascii="Arial" w:hAnsi="Arial" w:cs="Arial"/>
          <w:b/>
          <w:color w:val="0079BA"/>
          <w:sz w:val="44"/>
          <w:szCs w:val="44"/>
        </w:rPr>
        <w:t>PRESSEMITTEILUNG</w:t>
      </w:r>
    </w:p>
    <w:p w14:paraId="67D1189C" w14:textId="7D740C61" w:rsidR="00AF2883" w:rsidRPr="00ED60F0" w:rsidRDefault="00742322" w:rsidP="00ED4B7E">
      <w:pPr>
        <w:tabs>
          <w:tab w:val="right" w:pos="8789"/>
        </w:tabs>
        <w:suppressAutoHyphens/>
        <w:spacing w:before="120" w:after="24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72BEC4F" wp14:editId="4D2A6307">
            <wp:simplePos x="0" y="0"/>
            <wp:positionH relativeFrom="column">
              <wp:posOffset>33020</wp:posOffset>
            </wp:positionH>
            <wp:positionV relativeFrom="paragraph">
              <wp:posOffset>846455</wp:posOffset>
            </wp:positionV>
            <wp:extent cx="5457825" cy="3528695"/>
            <wp:effectExtent l="0" t="0" r="9525" b="0"/>
            <wp:wrapTopAndBottom/>
            <wp:docPr id="3508739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73933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02A" w:rsidRPr="00E9413A">
        <w:rPr>
          <w:rFonts w:ascii="Arial" w:hAnsi="Arial" w:cs="Arial"/>
          <w:color w:val="000000"/>
          <w:sz w:val="36"/>
          <w:szCs w:val="36"/>
        </w:rPr>
        <w:t>#RIGKWebinarHub</w:t>
      </w:r>
      <w:r w:rsidR="0091202A">
        <w:rPr>
          <w:rFonts w:ascii="Arial" w:hAnsi="Arial" w:cs="Arial"/>
          <w:color w:val="000000"/>
          <w:sz w:val="36"/>
          <w:szCs w:val="36"/>
        </w:rPr>
        <w:t>:</w:t>
      </w:r>
      <w:r w:rsidR="0091202A" w:rsidRPr="00E9413A">
        <w:rPr>
          <w:rFonts w:ascii="Arial" w:hAnsi="Arial" w:cs="Arial"/>
          <w:color w:val="000000"/>
          <w:sz w:val="36"/>
          <w:szCs w:val="36"/>
        </w:rPr>
        <w:t xml:space="preserve"> </w:t>
      </w:r>
      <w:r w:rsidR="0091202A">
        <w:rPr>
          <w:rFonts w:ascii="Arial" w:hAnsi="Arial" w:cs="Arial"/>
          <w:color w:val="000000"/>
          <w:sz w:val="36"/>
          <w:szCs w:val="36"/>
        </w:rPr>
        <w:br/>
        <w:t>Neue</w:t>
      </w:r>
      <w:r w:rsidR="00250AE3">
        <w:rPr>
          <w:rFonts w:ascii="Arial" w:hAnsi="Arial" w:cs="Arial"/>
          <w:color w:val="000000"/>
          <w:sz w:val="36"/>
          <w:szCs w:val="36"/>
        </w:rPr>
        <w:t xml:space="preserve"> kostenfreie</w:t>
      </w:r>
      <w:r w:rsidR="0091202A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="00E9413A" w:rsidRPr="00E9413A">
        <w:rPr>
          <w:rFonts w:ascii="Arial" w:hAnsi="Arial" w:cs="Arial"/>
          <w:color w:val="000000"/>
          <w:sz w:val="36"/>
          <w:szCs w:val="36"/>
        </w:rPr>
        <w:t>Webinarreihe</w:t>
      </w:r>
      <w:proofErr w:type="spellEnd"/>
      <w:r w:rsidR="00E9413A" w:rsidRPr="00E9413A">
        <w:rPr>
          <w:rFonts w:ascii="Arial" w:hAnsi="Arial" w:cs="Arial"/>
          <w:color w:val="000000"/>
          <w:sz w:val="36"/>
          <w:szCs w:val="36"/>
        </w:rPr>
        <w:t xml:space="preserve"> startet mit Fokus auf die EU-Verpackungsverordnung (PPWR)</w:t>
      </w:r>
    </w:p>
    <w:p w14:paraId="018C5274" w14:textId="5D631624" w:rsidR="00460BD4" w:rsidRPr="00D37FA1" w:rsidRDefault="00460BD4" w:rsidP="00ED4B7E">
      <w:pPr>
        <w:spacing w:before="120" w:line="240" w:lineRule="auto"/>
        <w:rPr>
          <w:i/>
          <w:iCs/>
          <w:sz w:val="22"/>
          <w:szCs w:val="22"/>
        </w:rPr>
      </w:pPr>
      <w:r w:rsidRPr="00204DB8">
        <w:rPr>
          <w:i/>
          <w:iCs/>
          <w:sz w:val="22"/>
          <w:szCs w:val="22"/>
        </w:rPr>
        <w:t xml:space="preserve">Das </w:t>
      </w:r>
      <w:r>
        <w:rPr>
          <w:i/>
          <w:iCs/>
          <w:sz w:val="22"/>
          <w:szCs w:val="22"/>
        </w:rPr>
        <w:t>neue „</w:t>
      </w:r>
      <w:r w:rsidRPr="00460BD4">
        <w:rPr>
          <w:i/>
          <w:iCs/>
          <w:sz w:val="22"/>
          <w:szCs w:val="22"/>
        </w:rPr>
        <w:t>#</w:t>
      </w:r>
      <w:proofErr w:type="spellStart"/>
      <w:r w:rsidRPr="00460BD4">
        <w:rPr>
          <w:i/>
          <w:iCs/>
          <w:sz w:val="22"/>
          <w:szCs w:val="22"/>
        </w:rPr>
        <w:t>RIGKWebinarHub</w:t>
      </w:r>
      <w:proofErr w:type="spellEnd"/>
      <w:r>
        <w:rPr>
          <w:i/>
          <w:iCs/>
          <w:sz w:val="22"/>
          <w:szCs w:val="22"/>
        </w:rPr>
        <w:t>“</w:t>
      </w:r>
      <w:r w:rsidRPr="00460BD4">
        <w:rPr>
          <w:i/>
          <w:iCs/>
          <w:sz w:val="22"/>
          <w:szCs w:val="22"/>
        </w:rPr>
        <w:t xml:space="preserve"> </w:t>
      </w:r>
      <w:r w:rsidRPr="00204DB8">
        <w:rPr>
          <w:i/>
          <w:iCs/>
          <w:sz w:val="22"/>
          <w:szCs w:val="22"/>
        </w:rPr>
        <w:t>verbindet Praxiswissen mit strategischen Perspektiven für die Verpackungsbranche</w:t>
      </w:r>
      <w:r w:rsidRPr="00D37FA1">
        <w:rPr>
          <w:i/>
          <w:iCs/>
          <w:sz w:val="22"/>
          <w:szCs w:val="22"/>
        </w:rPr>
        <w:t>. © RIGK</w:t>
      </w:r>
    </w:p>
    <w:p w14:paraId="04ED437E" w14:textId="57859769" w:rsidR="00D37FA1" w:rsidRPr="00D37FA1" w:rsidRDefault="00303F1C" w:rsidP="00A74765">
      <w:pPr>
        <w:spacing w:before="240" w:after="120" w:line="274" w:lineRule="auto"/>
        <w:jc w:val="both"/>
        <w:rPr>
          <w:rFonts w:asciiTheme="minorBidi" w:hAnsiTheme="minorBidi"/>
        </w:rPr>
      </w:pPr>
      <w:r w:rsidRPr="00ED60F0">
        <w:rPr>
          <w:rFonts w:asciiTheme="minorBidi" w:hAnsiTheme="minorBidi"/>
        </w:rPr>
        <w:t xml:space="preserve">Wiesbaden, </w:t>
      </w:r>
      <w:r w:rsidR="009E547C">
        <w:rPr>
          <w:rFonts w:asciiTheme="minorBidi" w:hAnsiTheme="minorBidi"/>
        </w:rPr>
        <w:t>August</w:t>
      </w:r>
      <w:r w:rsidRPr="00ED60F0">
        <w:rPr>
          <w:rFonts w:asciiTheme="minorBidi" w:hAnsiTheme="minorBidi"/>
        </w:rPr>
        <w:t xml:space="preserve"> 2025 </w:t>
      </w:r>
      <w:bookmarkStart w:id="2" w:name="_Hlk191298688"/>
      <w:r w:rsidRPr="00ED60F0">
        <w:rPr>
          <w:rFonts w:asciiTheme="minorBidi" w:hAnsiTheme="minorBidi"/>
        </w:rPr>
        <w:t xml:space="preserve">– </w:t>
      </w:r>
      <w:r w:rsidR="00460BD4" w:rsidRPr="00460BD4">
        <w:rPr>
          <w:rFonts w:asciiTheme="minorBidi" w:hAnsiTheme="minorBidi"/>
        </w:rPr>
        <w:t>Die</w:t>
      </w:r>
      <w:r w:rsidR="009E547C" w:rsidRPr="00460BD4">
        <w:rPr>
          <w:rFonts w:asciiTheme="minorBidi" w:hAnsiTheme="minorBidi"/>
        </w:rPr>
        <w:t xml:space="preserve"> neue </w:t>
      </w:r>
      <w:r w:rsidR="009E547C" w:rsidRPr="00460BD4">
        <w:rPr>
          <w:rFonts w:asciiTheme="minorBidi" w:hAnsiTheme="minorBidi"/>
          <w:bCs/>
        </w:rPr>
        <w:t>EU-Verpackungsverordnung (</w:t>
      </w:r>
      <w:proofErr w:type="spellStart"/>
      <w:r w:rsidR="009E547C" w:rsidRPr="00460BD4">
        <w:rPr>
          <w:rFonts w:asciiTheme="minorBidi" w:hAnsiTheme="minorBidi"/>
          <w:bCs/>
        </w:rPr>
        <w:t>Packaging</w:t>
      </w:r>
      <w:proofErr w:type="spellEnd"/>
      <w:r w:rsidR="009E547C" w:rsidRPr="00460BD4">
        <w:rPr>
          <w:rFonts w:asciiTheme="minorBidi" w:hAnsiTheme="minorBidi"/>
          <w:bCs/>
        </w:rPr>
        <w:t xml:space="preserve"> and </w:t>
      </w:r>
      <w:proofErr w:type="spellStart"/>
      <w:r w:rsidR="009E547C" w:rsidRPr="00460BD4">
        <w:rPr>
          <w:rFonts w:asciiTheme="minorBidi" w:hAnsiTheme="minorBidi"/>
          <w:bCs/>
        </w:rPr>
        <w:t>Packaging</w:t>
      </w:r>
      <w:proofErr w:type="spellEnd"/>
      <w:r w:rsidR="009E547C" w:rsidRPr="00460BD4">
        <w:rPr>
          <w:rFonts w:asciiTheme="minorBidi" w:hAnsiTheme="minorBidi"/>
          <w:bCs/>
        </w:rPr>
        <w:t xml:space="preserve"> </w:t>
      </w:r>
      <w:proofErr w:type="spellStart"/>
      <w:r w:rsidR="009E547C" w:rsidRPr="00460BD4">
        <w:rPr>
          <w:rFonts w:asciiTheme="minorBidi" w:hAnsiTheme="minorBidi"/>
          <w:bCs/>
        </w:rPr>
        <w:t>Waste</w:t>
      </w:r>
      <w:proofErr w:type="spellEnd"/>
      <w:r w:rsidR="009E547C" w:rsidRPr="00460BD4">
        <w:rPr>
          <w:rFonts w:asciiTheme="minorBidi" w:hAnsiTheme="minorBidi"/>
          <w:bCs/>
        </w:rPr>
        <w:t xml:space="preserve"> Regulation, PPWR)</w:t>
      </w:r>
      <w:r w:rsidR="009E547C" w:rsidRPr="00460BD4">
        <w:rPr>
          <w:rFonts w:asciiTheme="minorBidi" w:hAnsiTheme="minorBidi"/>
        </w:rPr>
        <w:t xml:space="preserve"> </w:t>
      </w:r>
      <w:r w:rsidR="00E9121D" w:rsidRPr="00E9121D">
        <w:rPr>
          <w:rFonts w:asciiTheme="minorBidi" w:hAnsiTheme="minorBidi"/>
        </w:rPr>
        <w:t>bringt weitreichende Veränderungen für Unternehmen in ganz Europa mit sich</w:t>
      </w:r>
      <w:r w:rsidR="009E547C" w:rsidRPr="00460BD4">
        <w:rPr>
          <w:rFonts w:asciiTheme="minorBidi" w:hAnsiTheme="minorBidi"/>
        </w:rPr>
        <w:t xml:space="preserve">. Welche Anforderungen künftig zu erfüllen sind und wie praxisgerechte Lösungen entlang des gesamten Kunststoffkreislaufs aussehen können, zeigt RIGK im </w:t>
      </w:r>
      <w:proofErr w:type="spellStart"/>
      <w:r w:rsidR="009E547C" w:rsidRPr="00460BD4">
        <w:rPr>
          <w:rFonts w:asciiTheme="minorBidi" w:hAnsiTheme="minorBidi"/>
        </w:rPr>
        <w:t>Auftaktwebinar</w:t>
      </w:r>
      <w:proofErr w:type="spellEnd"/>
      <w:r w:rsidR="009E547C" w:rsidRPr="00460BD4">
        <w:rPr>
          <w:rFonts w:asciiTheme="minorBidi" w:hAnsiTheme="minorBidi"/>
        </w:rPr>
        <w:t xml:space="preserve"> seiner neuen Reihe </w:t>
      </w:r>
      <w:r w:rsidR="009E547C" w:rsidRPr="00460BD4">
        <w:rPr>
          <w:rFonts w:asciiTheme="minorBidi" w:hAnsiTheme="minorBidi"/>
          <w:bCs/>
        </w:rPr>
        <w:t>#RIGKWebinarHub</w:t>
      </w:r>
      <w:r w:rsidR="00E9121D" w:rsidRPr="00E9121D">
        <w:rPr>
          <w:rFonts w:asciiTheme="minorBidi" w:hAnsiTheme="minorBidi"/>
        </w:rPr>
        <w:t xml:space="preserve"> </w:t>
      </w:r>
      <w:r w:rsidR="00E9121D" w:rsidRPr="00460BD4">
        <w:rPr>
          <w:rFonts w:asciiTheme="minorBidi" w:hAnsiTheme="minorBidi"/>
        </w:rPr>
        <w:t>am 11. September 2025</w:t>
      </w:r>
      <w:r w:rsidR="00E9121D">
        <w:rPr>
          <w:rFonts w:asciiTheme="minorBidi" w:hAnsiTheme="minorBidi"/>
          <w:bCs/>
        </w:rPr>
        <w:t xml:space="preserve">. Dieses wendet </w:t>
      </w:r>
      <w:r w:rsidR="00ED4B7E">
        <w:rPr>
          <w:rFonts w:asciiTheme="minorBidi" w:hAnsiTheme="minorBidi"/>
          <w:bCs/>
        </w:rPr>
        <w:t xml:space="preserve">sich </w:t>
      </w:r>
      <w:r w:rsidR="00E9121D" w:rsidRPr="00E9121D">
        <w:rPr>
          <w:rFonts w:asciiTheme="minorBidi" w:hAnsiTheme="minorBidi"/>
          <w:bCs/>
        </w:rPr>
        <w:t xml:space="preserve">online </w:t>
      </w:r>
      <w:r w:rsidR="00ED4B7E" w:rsidRPr="00ED4B7E">
        <w:rPr>
          <w:rFonts w:asciiTheme="minorBidi" w:hAnsiTheme="minorBidi"/>
        </w:rPr>
        <w:t>an Hersteller, Inverkehrbringer, Händler und Verwerter von Verpackungen</w:t>
      </w:r>
      <w:r w:rsidR="00ED4B7E">
        <w:rPr>
          <w:rFonts w:asciiTheme="minorBidi" w:hAnsiTheme="minorBidi"/>
        </w:rPr>
        <w:t xml:space="preserve"> </w:t>
      </w:r>
      <w:r w:rsidR="00E9121D">
        <w:rPr>
          <w:rFonts w:asciiTheme="minorBidi" w:hAnsiTheme="minorBidi"/>
        </w:rPr>
        <w:t xml:space="preserve">und </w:t>
      </w:r>
      <w:r w:rsidR="00E9121D" w:rsidRPr="00E9121D">
        <w:rPr>
          <w:rFonts w:asciiTheme="minorBidi" w:hAnsiTheme="minorBidi"/>
        </w:rPr>
        <w:t>findet von 10:00 bis 11:30 Uhr statt. Die Teilnahme ist kostenlos</w:t>
      </w:r>
      <w:r w:rsidR="00A74765">
        <w:rPr>
          <w:rFonts w:asciiTheme="minorBidi" w:hAnsiTheme="minorBidi"/>
        </w:rPr>
        <w:t>,</w:t>
      </w:r>
      <w:r w:rsidR="004A7B13">
        <w:rPr>
          <w:rFonts w:asciiTheme="minorBidi" w:hAnsiTheme="minorBidi"/>
        </w:rPr>
        <w:t xml:space="preserve"> das Webinar wird auf Englisch stattfinden</w:t>
      </w:r>
      <w:r w:rsidR="00A74765">
        <w:rPr>
          <w:rFonts w:asciiTheme="minorBidi" w:hAnsiTheme="minorBidi"/>
        </w:rPr>
        <w:t>.</w:t>
      </w:r>
      <w:r w:rsidR="00E9121D" w:rsidRPr="00E9121D">
        <w:rPr>
          <w:rFonts w:asciiTheme="minorBidi" w:hAnsiTheme="minorBidi"/>
        </w:rPr>
        <w:t xml:space="preserve"> </w:t>
      </w:r>
      <w:r w:rsidR="00A74765">
        <w:rPr>
          <w:rFonts w:asciiTheme="minorBidi" w:hAnsiTheme="minorBidi"/>
        </w:rPr>
        <w:t xml:space="preserve">Die </w:t>
      </w:r>
      <w:r w:rsidR="00E9121D" w:rsidRPr="00E9121D">
        <w:rPr>
          <w:rFonts w:asciiTheme="minorBidi" w:hAnsiTheme="minorBidi"/>
        </w:rPr>
        <w:t>Anmeldung ist erforderlich</w:t>
      </w:r>
      <w:r w:rsidR="00E9121D">
        <w:rPr>
          <w:rFonts w:asciiTheme="minorBidi" w:hAnsiTheme="minorBidi"/>
        </w:rPr>
        <w:t xml:space="preserve"> und kann </w:t>
      </w:r>
      <w:hyperlink r:id="rId8" w:history="1">
        <w:r w:rsidR="00E9121D" w:rsidRPr="00A74765">
          <w:rPr>
            <w:rStyle w:val="Hyperlink"/>
            <w:rFonts w:asciiTheme="minorBidi" w:hAnsiTheme="minorBidi"/>
          </w:rPr>
          <w:t xml:space="preserve">unter </w:t>
        </w:r>
        <w:r w:rsidR="00243AD0" w:rsidRPr="00A74765">
          <w:rPr>
            <w:rStyle w:val="Hyperlink"/>
            <w:rFonts w:asciiTheme="minorBidi" w:hAnsiTheme="minorBidi"/>
          </w:rPr>
          <w:t>https://www.rigk.de/rigkwebinarhub</w:t>
        </w:r>
      </w:hyperlink>
      <w:r w:rsidR="00243AD0" w:rsidRPr="00243AD0">
        <w:rPr>
          <w:rFonts w:asciiTheme="minorBidi" w:hAnsiTheme="minorBidi"/>
        </w:rPr>
        <w:t xml:space="preserve"> </w:t>
      </w:r>
      <w:r w:rsidR="00E9121D" w:rsidRPr="00243AD0">
        <w:rPr>
          <w:rFonts w:asciiTheme="minorBidi" w:hAnsiTheme="minorBidi"/>
        </w:rPr>
        <w:t>e</w:t>
      </w:r>
      <w:r w:rsidR="00E9121D">
        <w:rPr>
          <w:rFonts w:asciiTheme="minorBidi" w:hAnsiTheme="minorBidi"/>
        </w:rPr>
        <w:t>rfolgen</w:t>
      </w:r>
      <w:r w:rsidR="00E9121D" w:rsidRPr="00E9121D">
        <w:rPr>
          <w:rFonts w:asciiTheme="minorBidi" w:hAnsiTheme="minorBidi"/>
        </w:rPr>
        <w:t>.</w:t>
      </w:r>
    </w:p>
    <w:p w14:paraId="1F9694C6" w14:textId="798F433E" w:rsidR="00A22EDE" w:rsidRPr="00ED60F0" w:rsidRDefault="00204DB8" w:rsidP="00ED4B7E">
      <w:pPr>
        <w:spacing w:after="240" w:line="274" w:lineRule="auto"/>
        <w:jc w:val="both"/>
        <w:rPr>
          <w:rFonts w:asciiTheme="minorBidi" w:hAnsiTheme="minorBidi"/>
        </w:rPr>
      </w:pPr>
      <w:r w:rsidRPr="00204DB8">
        <w:rPr>
          <w:rFonts w:asciiTheme="minorBidi" w:hAnsiTheme="minorBidi"/>
        </w:rPr>
        <w:t xml:space="preserve">Unter dem Leitgedanken </w:t>
      </w:r>
      <w:r w:rsidRPr="00204DB8">
        <w:rPr>
          <w:rFonts w:asciiTheme="minorBidi" w:hAnsiTheme="minorBidi"/>
          <w:i/>
          <w:iCs/>
        </w:rPr>
        <w:t xml:space="preserve">„Future-Proof </w:t>
      </w:r>
      <w:proofErr w:type="spellStart"/>
      <w:r w:rsidRPr="00204DB8">
        <w:rPr>
          <w:rFonts w:asciiTheme="minorBidi" w:hAnsiTheme="minorBidi"/>
          <w:i/>
          <w:iCs/>
        </w:rPr>
        <w:t>Packaging</w:t>
      </w:r>
      <w:proofErr w:type="spellEnd"/>
      <w:r w:rsidRPr="00204DB8">
        <w:rPr>
          <w:rFonts w:asciiTheme="minorBidi" w:hAnsiTheme="minorBidi"/>
          <w:i/>
          <w:iCs/>
        </w:rPr>
        <w:t xml:space="preserve">: </w:t>
      </w:r>
      <w:proofErr w:type="spellStart"/>
      <w:r w:rsidRPr="00204DB8">
        <w:rPr>
          <w:rFonts w:asciiTheme="minorBidi" w:hAnsiTheme="minorBidi"/>
          <w:i/>
          <w:iCs/>
        </w:rPr>
        <w:t>How</w:t>
      </w:r>
      <w:proofErr w:type="spellEnd"/>
      <w:r w:rsidRPr="00204DB8">
        <w:rPr>
          <w:rFonts w:asciiTheme="minorBidi" w:hAnsiTheme="minorBidi"/>
          <w:i/>
          <w:iCs/>
        </w:rPr>
        <w:t xml:space="preserve"> </w:t>
      </w:r>
      <w:proofErr w:type="spellStart"/>
      <w:r w:rsidRPr="00204DB8">
        <w:rPr>
          <w:rFonts w:asciiTheme="minorBidi" w:hAnsiTheme="minorBidi"/>
          <w:i/>
          <w:iCs/>
        </w:rPr>
        <w:t>to</w:t>
      </w:r>
      <w:proofErr w:type="spellEnd"/>
      <w:r w:rsidRPr="00204DB8">
        <w:rPr>
          <w:rFonts w:asciiTheme="minorBidi" w:hAnsiTheme="minorBidi"/>
          <w:i/>
          <w:iCs/>
        </w:rPr>
        <w:t xml:space="preserve"> Close </w:t>
      </w:r>
      <w:proofErr w:type="spellStart"/>
      <w:r w:rsidRPr="00204DB8">
        <w:rPr>
          <w:rFonts w:asciiTheme="minorBidi" w:hAnsiTheme="minorBidi"/>
          <w:i/>
          <w:iCs/>
        </w:rPr>
        <w:t>the</w:t>
      </w:r>
      <w:proofErr w:type="spellEnd"/>
      <w:r w:rsidRPr="00204DB8">
        <w:rPr>
          <w:rFonts w:asciiTheme="minorBidi" w:hAnsiTheme="minorBidi"/>
          <w:i/>
          <w:iCs/>
        </w:rPr>
        <w:t xml:space="preserve"> Loop and </w:t>
      </w:r>
      <w:proofErr w:type="spellStart"/>
      <w:r w:rsidRPr="00204DB8">
        <w:rPr>
          <w:rFonts w:asciiTheme="minorBidi" w:hAnsiTheme="minorBidi"/>
          <w:i/>
          <w:iCs/>
        </w:rPr>
        <w:t>Meet</w:t>
      </w:r>
      <w:proofErr w:type="spellEnd"/>
      <w:r w:rsidRPr="00204DB8">
        <w:rPr>
          <w:rFonts w:asciiTheme="minorBidi" w:hAnsiTheme="minorBidi"/>
          <w:i/>
          <w:iCs/>
        </w:rPr>
        <w:t xml:space="preserve"> PPWR Standards“</w:t>
      </w:r>
      <w:r w:rsidRPr="00204DB8">
        <w:rPr>
          <w:rFonts w:asciiTheme="minorBidi" w:hAnsiTheme="minorBidi"/>
        </w:rPr>
        <w:t xml:space="preserve"> </w:t>
      </w:r>
      <w:r w:rsidR="00E9121D">
        <w:rPr>
          <w:rFonts w:asciiTheme="minorBidi" w:hAnsiTheme="minorBidi"/>
        </w:rPr>
        <w:t>präsentieren</w:t>
      </w:r>
      <w:r w:rsidR="00ED4B7E">
        <w:rPr>
          <w:rFonts w:asciiTheme="minorBidi" w:hAnsiTheme="minorBidi"/>
        </w:rPr>
        <w:t xml:space="preserve"> </w:t>
      </w:r>
      <w:r w:rsidRPr="00204DB8">
        <w:rPr>
          <w:rFonts w:asciiTheme="minorBidi" w:hAnsiTheme="minorBidi"/>
        </w:rPr>
        <w:t xml:space="preserve">Expertinnen </w:t>
      </w:r>
      <w:r>
        <w:rPr>
          <w:rFonts w:asciiTheme="minorBidi" w:hAnsiTheme="minorBidi"/>
        </w:rPr>
        <w:t xml:space="preserve">und Experten </w:t>
      </w:r>
      <w:r w:rsidRPr="00204DB8">
        <w:rPr>
          <w:rFonts w:asciiTheme="minorBidi" w:hAnsiTheme="minorBidi"/>
        </w:rPr>
        <w:t xml:space="preserve">aus dem RIGK-Netzwerk </w:t>
      </w:r>
      <w:r w:rsidR="00E9121D" w:rsidRPr="00E9121D">
        <w:rPr>
          <w:rFonts w:asciiTheme="minorBidi" w:hAnsiTheme="minorBidi"/>
        </w:rPr>
        <w:t xml:space="preserve">Strategien für die erfolgreiche </w:t>
      </w:r>
      <w:r w:rsidR="00ED4B7E">
        <w:rPr>
          <w:rFonts w:asciiTheme="minorBidi" w:hAnsiTheme="minorBidi"/>
        </w:rPr>
        <w:t xml:space="preserve">Umsetzung der </w:t>
      </w:r>
      <w:r w:rsidRPr="00204DB8">
        <w:rPr>
          <w:rFonts w:asciiTheme="minorBidi" w:hAnsiTheme="minorBidi"/>
        </w:rPr>
        <w:t xml:space="preserve">neuen regulatorischen Vorgaben </w:t>
      </w:r>
      <w:r w:rsidR="00460BD4" w:rsidRPr="00204DB8">
        <w:rPr>
          <w:rFonts w:asciiTheme="minorBidi" w:hAnsiTheme="minorBidi"/>
        </w:rPr>
        <w:t>in Industrie, Gewerbe und Landwirtschaft</w:t>
      </w:r>
      <w:r w:rsidRPr="00204DB8">
        <w:rPr>
          <w:rFonts w:asciiTheme="minorBidi" w:hAnsiTheme="minorBidi"/>
        </w:rPr>
        <w:t xml:space="preserve">. </w:t>
      </w:r>
      <w:r w:rsidR="00460BD4">
        <w:rPr>
          <w:rFonts w:asciiTheme="minorBidi" w:hAnsiTheme="minorBidi"/>
        </w:rPr>
        <w:t>Die</w:t>
      </w:r>
      <w:r w:rsidRPr="00204DB8">
        <w:rPr>
          <w:rFonts w:asciiTheme="minorBidi" w:hAnsiTheme="minorBidi"/>
        </w:rPr>
        <w:t xml:space="preserve"> Teilnehmenden </w:t>
      </w:r>
      <w:r w:rsidR="00460BD4">
        <w:rPr>
          <w:rFonts w:asciiTheme="minorBidi" w:hAnsiTheme="minorBidi"/>
        </w:rPr>
        <w:t xml:space="preserve">erhalten </w:t>
      </w:r>
      <w:r w:rsidRPr="00204DB8">
        <w:rPr>
          <w:rFonts w:asciiTheme="minorBidi" w:hAnsiTheme="minorBidi"/>
        </w:rPr>
        <w:t xml:space="preserve">einen kompakten Überblick und </w:t>
      </w:r>
      <w:r w:rsidR="00E9121D">
        <w:rPr>
          <w:rFonts w:asciiTheme="minorBidi" w:hAnsiTheme="minorBidi"/>
        </w:rPr>
        <w:t xml:space="preserve">lernen </w:t>
      </w:r>
      <w:r w:rsidRPr="00204DB8">
        <w:rPr>
          <w:rFonts w:asciiTheme="minorBidi" w:hAnsiTheme="minorBidi"/>
        </w:rPr>
        <w:t xml:space="preserve">zugleich konkrete Handlungsmöglichkeiten </w:t>
      </w:r>
      <w:r w:rsidR="00460BD4">
        <w:rPr>
          <w:rFonts w:asciiTheme="minorBidi" w:hAnsiTheme="minorBidi"/>
        </w:rPr>
        <w:t xml:space="preserve">kennen. Diese reichen </w:t>
      </w:r>
      <w:r w:rsidRPr="00204DB8">
        <w:rPr>
          <w:rFonts w:asciiTheme="minorBidi" w:hAnsiTheme="minorBidi"/>
        </w:rPr>
        <w:t xml:space="preserve">von der Rücknahme und Lizenzierung von Verpackungen über </w:t>
      </w:r>
      <w:r w:rsidR="002971E2">
        <w:rPr>
          <w:rFonts w:asciiTheme="minorBidi" w:hAnsiTheme="minorBidi"/>
        </w:rPr>
        <w:t>PPWR-</w:t>
      </w:r>
      <w:r w:rsidR="00E9121D" w:rsidRPr="00E9121D">
        <w:rPr>
          <w:rFonts w:asciiTheme="minorBidi" w:hAnsiTheme="minorBidi"/>
        </w:rPr>
        <w:t>Beratung</w:t>
      </w:r>
      <w:r w:rsidR="002971E2">
        <w:rPr>
          <w:rFonts w:asciiTheme="minorBidi" w:hAnsiTheme="minorBidi"/>
        </w:rPr>
        <w:t>s</w:t>
      </w:r>
      <w:r w:rsidR="00444D51">
        <w:rPr>
          <w:rFonts w:asciiTheme="minorBidi" w:hAnsiTheme="minorBidi"/>
        </w:rPr>
        <w:t>s</w:t>
      </w:r>
      <w:r w:rsidR="002971E2">
        <w:rPr>
          <w:rFonts w:asciiTheme="minorBidi" w:hAnsiTheme="minorBidi"/>
        </w:rPr>
        <w:t>ervice</w:t>
      </w:r>
      <w:r w:rsidR="004C2393">
        <w:rPr>
          <w:rFonts w:asciiTheme="minorBidi" w:hAnsiTheme="minorBidi"/>
        </w:rPr>
        <w:t>s</w:t>
      </w:r>
      <w:r w:rsidR="00E9121D" w:rsidRPr="00E9121D">
        <w:rPr>
          <w:rFonts w:asciiTheme="minorBidi" w:hAnsiTheme="minorBidi"/>
        </w:rPr>
        <w:t xml:space="preserve"> bis hin zur Zertifizierung </w:t>
      </w:r>
      <w:r w:rsidR="002971E2">
        <w:rPr>
          <w:rFonts w:asciiTheme="minorBidi" w:hAnsiTheme="minorBidi"/>
        </w:rPr>
        <w:t>von</w:t>
      </w:r>
      <w:r w:rsidR="00E9121D" w:rsidRPr="00E9121D">
        <w:rPr>
          <w:rFonts w:asciiTheme="minorBidi" w:hAnsiTheme="minorBidi"/>
        </w:rPr>
        <w:t xml:space="preserve"> </w:t>
      </w:r>
      <w:proofErr w:type="spellStart"/>
      <w:r w:rsidR="00E9121D" w:rsidRPr="00E9121D">
        <w:rPr>
          <w:rFonts w:asciiTheme="minorBidi" w:hAnsiTheme="minorBidi"/>
        </w:rPr>
        <w:t>Rezyklateinsatz</w:t>
      </w:r>
      <w:proofErr w:type="spellEnd"/>
      <w:r w:rsidR="00E9121D" w:rsidRPr="00E9121D">
        <w:rPr>
          <w:rFonts w:asciiTheme="minorBidi" w:hAnsiTheme="minorBidi"/>
        </w:rPr>
        <w:t xml:space="preserve">, Design </w:t>
      </w:r>
      <w:proofErr w:type="spellStart"/>
      <w:r w:rsidR="00E9121D" w:rsidRPr="00E9121D">
        <w:rPr>
          <w:rFonts w:asciiTheme="minorBidi" w:hAnsiTheme="minorBidi"/>
        </w:rPr>
        <w:t>f</w:t>
      </w:r>
      <w:r w:rsidR="000B2F7C">
        <w:rPr>
          <w:rFonts w:asciiTheme="minorBidi" w:hAnsiTheme="minorBidi"/>
        </w:rPr>
        <w:t>o</w:t>
      </w:r>
      <w:r w:rsidR="00E9121D" w:rsidRPr="00E9121D">
        <w:rPr>
          <w:rFonts w:asciiTheme="minorBidi" w:hAnsiTheme="minorBidi"/>
        </w:rPr>
        <w:t>r</w:t>
      </w:r>
      <w:proofErr w:type="spellEnd"/>
      <w:r w:rsidR="00E9121D" w:rsidRPr="00E9121D">
        <w:rPr>
          <w:rFonts w:asciiTheme="minorBidi" w:hAnsiTheme="minorBidi"/>
        </w:rPr>
        <w:t xml:space="preserve"> Recycling und Recyclingprozesse</w:t>
      </w:r>
      <w:r w:rsidR="002971E2">
        <w:rPr>
          <w:rFonts w:asciiTheme="minorBidi" w:hAnsiTheme="minorBidi"/>
        </w:rPr>
        <w:t>n</w:t>
      </w:r>
      <w:r w:rsidR="00140F76">
        <w:rPr>
          <w:rFonts w:asciiTheme="minorBidi" w:hAnsiTheme="minorBidi"/>
        </w:rPr>
        <w:t>.</w:t>
      </w:r>
      <w:r w:rsidR="00742322" w:rsidRPr="00742322">
        <w:t xml:space="preserve"> </w:t>
      </w:r>
      <w:r w:rsidR="00140F76">
        <w:rPr>
          <w:rFonts w:asciiTheme="minorBidi" w:hAnsiTheme="minorBidi"/>
        </w:rPr>
        <w:t>Ebenso wird auf die</w:t>
      </w:r>
      <w:r w:rsidR="00742322">
        <w:rPr>
          <w:rFonts w:asciiTheme="minorBidi" w:hAnsiTheme="minorBidi"/>
        </w:rPr>
        <w:t xml:space="preserve"> </w:t>
      </w:r>
      <w:r w:rsidR="00742322" w:rsidRPr="00742322">
        <w:rPr>
          <w:rFonts w:asciiTheme="minorBidi" w:hAnsiTheme="minorBidi"/>
        </w:rPr>
        <w:t>Bereitstellung qualifizierter Rezyklate</w:t>
      </w:r>
      <w:r w:rsidR="00140F76">
        <w:rPr>
          <w:rFonts w:asciiTheme="minorBidi" w:hAnsiTheme="minorBidi"/>
        </w:rPr>
        <w:t xml:space="preserve"> durch </w:t>
      </w:r>
      <w:proofErr w:type="spellStart"/>
      <w:r w:rsidR="00140F76">
        <w:rPr>
          <w:rFonts w:asciiTheme="minorBidi" w:hAnsiTheme="minorBidi"/>
        </w:rPr>
        <w:t>plastship</w:t>
      </w:r>
      <w:proofErr w:type="spellEnd"/>
      <w:r w:rsidR="00742322" w:rsidRPr="00742322">
        <w:rPr>
          <w:rFonts w:asciiTheme="minorBidi" w:hAnsiTheme="minorBidi"/>
        </w:rPr>
        <w:t xml:space="preserve"> für den Wiedereinsatz in </w:t>
      </w:r>
      <w:r w:rsidR="00742322">
        <w:rPr>
          <w:rFonts w:asciiTheme="minorBidi" w:hAnsiTheme="minorBidi"/>
        </w:rPr>
        <w:t>neue Anwendungen</w:t>
      </w:r>
      <w:r w:rsidR="00742322" w:rsidRPr="00742322">
        <w:rPr>
          <w:rFonts w:asciiTheme="minorBidi" w:hAnsiTheme="minorBidi"/>
        </w:rPr>
        <w:t xml:space="preserve"> </w:t>
      </w:r>
      <w:r w:rsidR="00140F76">
        <w:rPr>
          <w:rFonts w:asciiTheme="minorBidi" w:hAnsiTheme="minorBidi"/>
        </w:rPr>
        <w:t>eingegangen</w:t>
      </w:r>
      <w:r w:rsidR="00E9121D">
        <w:rPr>
          <w:rFonts w:asciiTheme="minorBidi" w:hAnsiTheme="minorBidi"/>
        </w:rPr>
        <w:t>.</w:t>
      </w:r>
    </w:p>
    <w:p w14:paraId="23898B81" w14:textId="726C720E" w:rsidR="00A22EDE" w:rsidRPr="00ED4B7E" w:rsidRDefault="009E547C" w:rsidP="00ED4B7E">
      <w:pPr>
        <w:spacing w:after="0" w:line="274" w:lineRule="auto"/>
        <w:jc w:val="both"/>
        <w:rPr>
          <w:rFonts w:asciiTheme="minorBidi" w:hAnsiTheme="minorBidi"/>
          <w:b/>
        </w:rPr>
      </w:pPr>
      <w:r w:rsidRPr="00ED4B7E">
        <w:rPr>
          <w:rFonts w:asciiTheme="minorBidi" w:hAnsiTheme="minorBidi"/>
          <w:b/>
        </w:rPr>
        <w:lastRenderedPageBreak/>
        <w:t xml:space="preserve">Von Compliance bis </w:t>
      </w:r>
      <w:proofErr w:type="spellStart"/>
      <w:r w:rsidRPr="00ED4B7E">
        <w:rPr>
          <w:rFonts w:asciiTheme="minorBidi" w:hAnsiTheme="minorBidi"/>
          <w:b/>
        </w:rPr>
        <w:t>Circularity</w:t>
      </w:r>
      <w:proofErr w:type="spellEnd"/>
      <w:r w:rsidRPr="00ED4B7E">
        <w:rPr>
          <w:rFonts w:asciiTheme="minorBidi" w:hAnsiTheme="minorBidi"/>
          <w:b/>
        </w:rPr>
        <w:t>: das Programm im Überblick</w:t>
      </w:r>
    </w:p>
    <w:p w14:paraId="2B60577F" w14:textId="2A6B9F89" w:rsidR="009E547C" w:rsidRPr="009E547C" w:rsidRDefault="009E547C" w:rsidP="00ED4B7E">
      <w:pPr>
        <w:spacing w:before="60" w:after="0" w:line="274" w:lineRule="auto"/>
        <w:rPr>
          <w:rFonts w:asciiTheme="minorBidi" w:hAnsiTheme="minorBidi"/>
        </w:rPr>
      </w:pPr>
      <w:r w:rsidRPr="009E547C">
        <w:rPr>
          <w:rFonts w:asciiTheme="minorBidi" w:hAnsiTheme="minorBidi"/>
        </w:rPr>
        <w:t>Die Teilnehmenden erwarten kompakte Vorträge zu den zentralen Handlungsfeldern der PPWR:</w:t>
      </w:r>
    </w:p>
    <w:p w14:paraId="2925E6D6" w14:textId="32583168" w:rsidR="009E547C" w:rsidRPr="00ED4B7E" w:rsidRDefault="009E547C" w:rsidP="00ED4B7E">
      <w:pPr>
        <w:pStyle w:val="Listenabsatz"/>
        <w:numPr>
          <w:ilvl w:val="0"/>
          <w:numId w:val="5"/>
        </w:numPr>
        <w:spacing w:before="60" w:after="0" w:line="274" w:lineRule="auto"/>
        <w:rPr>
          <w:rFonts w:asciiTheme="minorBidi" w:hAnsiTheme="minorBidi"/>
        </w:rPr>
      </w:pPr>
      <w:r w:rsidRPr="00ED4B7E">
        <w:rPr>
          <w:rFonts w:asciiTheme="minorBidi" w:hAnsiTheme="minorBidi"/>
          <w:bCs/>
        </w:rPr>
        <w:t xml:space="preserve">Einführung in die PPWR </w:t>
      </w:r>
      <w:r w:rsidRPr="00ED4B7E">
        <w:rPr>
          <w:rFonts w:asciiTheme="minorBidi" w:hAnsiTheme="minorBidi"/>
        </w:rPr>
        <w:t>– Relevanz, Chancen und Handlungsbedarf für Unternehmen (Jan Bauer, RIGK</w:t>
      </w:r>
      <w:r w:rsidR="004A7B13">
        <w:rPr>
          <w:rFonts w:asciiTheme="minorBidi" w:hAnsiTheme="minorBidi"/>
        </w:rPr>
        <w:t xml:space="preserve"> GmbH</w:t>
      </w:r>
      <w:r w:rsidRPr="00ED4B7E">
        <w:rPr>
          <w:rFonts w:asciiTheme="minorBidi" w:hAnsiTheme="minorBidi"/>
        </w:rPr>
        <w:t>)</w:t>
      </w:r>
    </w:p>
    <w:p w14:paraId="05AD1FEC" w14:textId="3B942254" w:rsidR="009E547C" w:rsidRPr="00ED4B7E" w:rsidRDefault="009E547C" w:rsidP="00ED4B7E">
      <w:pPr>
        <w:pStyle w:val="Listenabsatz"/>
        <w:numPr>
          <w:ilvl w:val="0"/>
          <w:numId w:val="5"/>
        </w:numPr>
        <w:spacing w:before="60" w:after="0" w:line="274" w:lineRule="auto"/>
        <w:rPr>
          <w:rFonts w:asciiTheme="minorBidi" w:hAnsiTheme="minorBidi"/>
        </w:rPr>
      </w:pPr>
      <w:r w:rsidRPr="00ED4B7E">
        <w:rPr>
          <w:rFonts w:asciiTheme="minorBidi" w:hAnsiTheme="minorBidi"/>
          <w:bCs/>
        </w:rPr>
        <w:t>Rücknahmesysteme für Industrie &amp; Gewerbe</w:t>
      </w:r>
      <w:r w:rsidRPr="00ED4B7E">
        <w:rPr>
          <w:rFonts w:asciiTheme="minorBidi" w:hAnsiTheme="minorBidi"/>
        </w:rPr>
        <w:t xml:space="preserve"> –</w:t>
      </w:r>
      <w:r w:rsidR="00140F76">
        <w:rPr>
          <w:rFonts w:asciiTheme="minorBidi" w:hAnsiTheme="minorBidi"/>
        </w:rPr>
        <w:t xml:space="preserve"> </w:t>
      </w:r>
      <w:r w:rsidR="004C5ACA" w:rsidRPr="004C5ACA">
        <w:rPr>
          <w:rFonts w:asciiTheme="minorBidi" w:hAnsiTheme="minorBidi"/>
        </w:rPr>
        <w:t>bewährte Lösungen, entwickelt von und für die Industrie</w:t>
      </w:r>
      <w:r w:rsidRPr="00ED4B7E">
        <w:rPr>
          <w:rFonts w:asciiTheme="minorBidi" w:hAnsiTheme="minorBidi"/>
        </w:rPr>
        <w:t xml:space="preserve"> (Claudia Hoese, RIGK</w:t>
      </w:r>
      <w:r w:rsidR="004A7B13">
        <w:rPr>
          <w:rFonts w:asciiTheme="minorBidi" w:hAnsiTheme="minorBidi"/>
        </w:rPr>
        <w:t xml:space="preserve"> GmbH</w:t>
      </w:r>
      <w:r w:rsidRPr="00ED4B7E">
        <w:rPr>
          <w:rFonts w:asciiTheme="minorBidi" w:hAnsiTheme="minorBidi"/>
        </w:rPr>
        <w:t>)</w:t>
      </w:r>
    </w:p>
    <w:p w14:paraId="02D61952" w14:textId="0291CE40" w:rsidR="009E547C" w:rsidRPr="00ED4B7E" w:rsidRDefault="009E547C" w:rsidP="00ED4B7E">
      <w:pPr>
        <w:pStyle w:val="Listenabsatz"/>
        <w:numPr>
          <w:ilvl w:val="0"/>
          <w:numId w:val="5"/>
        </w:numPr>
        <w:spacing w:before="60" w:after="0" w:line="274" w:lineRule="auto"/>
        <w:rPr>
          <w:rFonts w:asciiTheme="minorBidi" w:hAnsiTheme="minorBidi"/>
        </w:rPr>
      </w:pPr>
      <w:r w:rsidRPr="00ED4B7E">
        <w:rPr>
          <w:rFonts w:asciiTheme="minorBidi" w:hAnsiTheme="minorBidi"/>
          <w:bCs/>
        </w:rPr>
        <w:t>Rücknahmesysteme Agrarbereich</w:t>
      </w:r>
      <w:r w:rsidRPr="00ED4B7E">
        <w:rPr>
          <w:rFonts w:asciiTheme="minorBidi" w:hAnsiTheme="minorBidi"/>
        </w:rPr>
        <w:t xml:space="preserve"> – erfolgreiche Modelle wie PAMIRA, ERDE &amp; Co. (Markus Dambeck, RIGK</w:t>
      </w:r>
      <w:r w:rsidR="004A7B13">
        <w:rPr>
          <w:rFonts w:asciiTheme="minorBidi" w:hAnsiTheme="minorBidi"/>
        </w:rPr>
        <w:t xml:space="preserve"> GmbH</w:t>
      </w:r>
      <w:r w:rsidRPr="00ED4B7E">
        <w:rPr>
          <w:rFonts w:asciiTheme="minorBidi" w:hAnsiTheme="minorBidi"/>
        </w:rPr>
        <w:t>)</w:t>
      </w:r>
    </w:p>
    <w:p w14:paraId="1A27EDCD" w14:textId="6EAB025A" w:rsidR="009E547C" w:rsidRPr="00ED4B7E" w:rsidRDefault="009E547C" w:rsidP="00ED4B7E">
      <w:pPr>
        <w:pStyle w:val="Listenabsatz"/>
        <w:numPr>
          <w:ilvl w:val="0"/>
          <w:numId w:val="5"/>
        </w:numPr>
        <w:spacing w:before="60" w:after="0" w:line="274" w:lineRule="auto"/>
        <w:rPr>
          <w:rFonts w:asciiTheme="minorBidi" w:hAnsiTheme="minorBidi"/>
        </w:rPr>
      </w:pPr>
      <w:r w:rsidRPr="00ED4B7E">
        <w:rPr>
          <w:rFonts w:asciiTheme="minorBidi" w:hAnsiTheme="minorBidi"/>
          <w:bCs/>
        </w:rPr>
        <w:t>KI-gestützte Stoffstrom-Optimierung (KISS-Projekt)</w:t>
      </w:r>
      <w:r w:rsidRPr="00ED4B7E">
        <w:rPr>
          <w:rFonts w:asciiTheme="minorBidi" w:hAnsiTheme="minorBidi"/>
        </w:rPr>
        <w:t xml:space="preserve"> – Digitalisierung für eine bessere Kreislaufführung (Andreas Bastian, </w:t>
      </w:r>
      <w:proofErr w:type="spellStart"/>
      <w:r w:rsidRPr="00ED4B7E">
        <w:rPr>
          <w:rFonts w:asciiTheme="minorBidi" w:hAnsiTheme="minorBidi"/>
        </w:rPr>
        <w:t>plastship</w:t>
      </w:r>
      <w:proofErr w:type="spellEnd"/>
      <w:r w:rsidR="004A7B13">
        <w:rPr>
          <w:rFonts w:asciiTheme="minorBidi" w:hAnsiTheme="minorBidi"/>
        </w:rPr>
        <w:t xml:space="preserve"> GmbH</w:t>
      </w:r>
      <w:r w:rsidRPr="00ED4B7E">
        <w:rPr>
          <w:rFonts w:asciiTheme="minorBidi" w:hAnsiTheme="minorBidi"/>
        </w:rPr>
        <w:t>)</w:t>
      </w:r>
    </w:p>
    <w:p w14:paraId="4697BCFF" w14:textId="503CD17D" w:rsidR="009E547C" w:rsidRPr="00ED4B7E" w:rsidRDefault="009E547C" w:rsidP="00ED4B7E">
      <w:pPr>
        <w:pStyle w:val="Listenabsatz"/>
        <w:numPr>
          <w:ilvl w:val="0"/>
          <w:numId w:val="5"/>
        </w:numPr>
        <w:spacing w:before="60" w:after="0" w:line="274" w:lineRule="auto"/>
        <w:rPr>
          <w:rFonts w:asciiTheme="minorBidi" w:hAnsiTheme="minorBidi"/>
        </w:rPr>
      </w:pPr>
      <w:r w:rsidRPr="00ED4B7E">
        <w:rPr>
          <w:rFonts w:asciiTheme="minorBidi" w:hAnsiTheme="minorBidi"/>
          <w:bCs/>
        </w:rPr>
        <w:t>Zertifizierungen &amp; Materialbewertung</w:t>
      </w:r>
      <w:r w:rsidRPr="00ED4B7E">
        <w:rPr>
          <w:rFonts w:asciiTheme="minorBidi" w:hAnsiTheme="minorBidi"/>
        </w:rPr>
        <w:t xml:space="preserve"> – Nachweis von Recyclingfähigkeit, </w:t>
      </w:r>
      <w:proofErr w:type="spellStart"/>
      <w:r w:rsidRPr="00ED4B7E">
        <w:rPr>
          <w:rFonts w:asciiTheme="minorBidi" w:hAnsiTheme="minorBidi"/>
        </w:rPr>
        <w:t>Rezyklatgehalt</w:t>
      </w:r>
      <w:proofErr w:type="spellEnd"/>
      <w:r w:rsidRPr="00ED4B7E">
        <w:rPr>
          <w:rFonts w:asciiTheme="minorBidi" w:hAnsiTheme="minorBidi"/>
        </w:rPr>
        <w:t xml:space="preserve"> und Recyclingprozessen (Konstantin Humm, </w:t>
      </w:r>
      <w:proofErr w:type="spellStart"/>
      <w:r w:rsidR="004A7B13" w:rsidRPr="004A7B13">
        <w:rPr>
          <w:rFonts w:asciiTheme="minorBidi" w:hAnsiTheme="minorBidi"/>
        </w:rPr>
        <w:t>PlastCert</w:t>
      </w:r>
      <w:proofErr w:type="spellEnd"/>
      <w:r w:rsidR="004A7B13" w:rsidRPr="004A7B13">
        <w:rPr>
          <w:rFonts w:asciiTheme="minorBidi" w:hAnsiTheme="minorBidi"/>
        </w:rPr>
        <w:t>-Abteilung der RIGK GmbH</w:t>
      </w:r>
      <w:r w:rsidRPr="00ED4B7E">
        <w:rPr>
          <w:rFonts w:asciiTheme="minorBidi" w:hAnsiTheme="minorBidi"/>
        </w:rPr>
        <w:t>)</w:t>
      </w:r>
    </w:p>
    <w:p w14:paraId="460C1C3C" w14:textId="0813A2A1" w:rsidR="009E547C" w:rsidRPr="00ED4B7E" w:rsidRDefault="005214F5" w:rsidP="00ED4B7E">
      <w:pPr>
        <w:pStyle w:val="Listenabsatz"/>
        <w:numPr>
          <w:ilvl w:val="0"/>
          <w:numId w:val="5"/>
        </w:numPr>
        <w:spacing w:before="60" w:after="0" w:line="274" w:lineRule="auto"/>
        <w:rPr>
          <w:rFonts w:asciiTheme="minorBidi" w:hAnsiTheme="minorBidi"/>
        </w:rPr>
      </w:pPr>
      <w:r>
        <w:rPr>
          <w:rFonts w:asciiTheme="minorBidi" w:hAnsiTheme="minorBidi"/>
          <w:bCs/>
        </w:rPr>
        <w:t>PPWR-Beratungs</w:t>
      </w:r>
      <w:r w:rsidR="00444D51">
        <w:rPr>
          <w:rFonts w:asciiTheme="minorBidi" w:hAnsiTheme="minorBidi"/>
          <w:bCs/>
        </w:rPr>
        <w:t>s</w:t>
      </w:r>
      <w:r>
        <w:rPr>
          <w:rFonts w:asciiTheme="minorBidi" w:hAnsiTheme="minorBidi"/>
          <w:bCs/>
        </w:rPr>
        <w:t>ervice</w:t>
      </w:r>
      <w:r w:rsidR="004C2393">
        <w:rPr>
          <w:rFonts w:asciiTheme="minorBidi" w:hAnsiTheme="minorBidi"/>
          <w:bCs/>
        </w:rPr>
        <w:t>s</w:t>
      </w:r>
      <w:r w:rsidR="009E547C" w:rsidRPr="00ED4B7E">
        <w:rPr>
          <w:rFonts w:asciiTheme="minorBidi" w:hAnsiTheme="minorBidi"/>
        </w:rPr>
        <w:t xml:space="preserve"> – Pflichten und praxisnahe Unterstützung für </w:t>
      </w:r>
      <w:r w:rsidR="00FC0455">
        <w:rPr>
          <w:rFonts w:asciiTheme="minorBidi" w:hAnsiTheme="minorBidi"/>
        </w:rPr>
        <w:t xml:space="preserve">Erzeuger und </w:t>
      </w:r>
      <w:r w:rsidR="009E547C" w:rsidRPr="00ED4B7E">
        <w:rPr>
          <w:rFonts w:asciiTheme="minorBidi" w:hAnsiTheme="minorBidi"/>
        </w:rPr>
        <w:t>Hersteller (Maria Hentze, PACKLIANCE</w:t>
      </w:r>
      <w:r w:rsidR="004A7B13">
        <w:rPr>
          <w:rFonts w:asciiTheme="minorBidi" w:hAnsiTheme="minorBidi"/>
        </w:rPr>
        <w:t xml:space="preserve"> GmbH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i.G.</w:t>
      </w:r>
      <w:proofErr w:type="spellEnd"/>
      <w:r w:rsidR="009E547C" w:rsidRPr="00ED4B7E">
        <w:rPr>
          <w:rFonts w:asciiTheme="minorBidi" w:hAnsiTheme="minorBidi"/>
        </w:rPr>
        <w:t>)</w:t>
      </w:r>
    </w:p>
    <w:p w14:paraId="67A80F29" w14:textId="6B40D95D" w:rsidR="0097776C" w:rsidRDefault="009E547C" w:rsidP="00ED4B7E">
      <w:pPr>
        <w:spacing w:before="120" w:after="240" w:line="274" w:lineRule="auto"/>
        <w:jc w:val="both"/>
        <w:rPr>
          <w:rFonts w:asciiTheme="minorBidi" w:hAnsiTheme="minorBidi"/>
        </w:rPr>
      </w:pPr>
      <w:r w:rsidRPr="00ED4B7E">
        <w:rPr>
          <w:rFonts w:asciiTheme="minorBidi" w:hAnsiTheme="minorBidi"/>
        </w:rPr>
        <w:t xml:space="preserve">Zum Abschluss bietet ein moderiertes </w:t>
      </w:r>
      <w:r w:rsidRPr="00ED4B7E">
        <w:rPr>
          <w:rFonts w:asciiTheme="minorBidi" w:hAnsiTheme="minorBidi"/>
          <w:bCs/>
        </w:rPr>
        <w:t>Live-Q&amp;A</w:t>
      </w:r>
      <w:r w:rsidRPr="00ED4B7E">
        <w:rPr>
          <w:rFonts w:asciiTheme="minorBidi" w:hAnsiTheme="minorBidi"/>
        </w:rPr>
        <w:t xml:space="preserve"> die Möglichkeit, individuelle</w:t>
      </w:r>
      <w:r w:rsidRPr="009E547C">
        <w:rPr>
          <w:rFonts w:asciiTheme="minorBidi" w:hAnsiTheme="minorBidi"/>
        </w:rPr>
        <w:t xml:space="preserve"> Fragen direkt mit den Referenten zu diskutieren.</w:t>
      </w:r>
    </w:p>
    <w:p w14:paraId="186A1297" w14:textId="5A2AE283" w:rsidR="009E547C" w:rsidRPr="00ED4B7E" w:rsidRDefault="009E547C" w:rsidP="004A7B13">
      <w:pPr>
        <w:spacing w:after="60" w:line="274" w:lineRule="auto"/>
        <w:jc w:val="both"/>
        <w:rPr>
          <w:rFonts w:asciiTheme="minorBidi" w:hAnsiTheme="minorBidi"/>
          <w:b/>
        </w:rPr>
      </w:pPr>
      <w:r w:rsidRPr="00ED4B7E">
        <w:rPr>
          <w:rFonts w:asciiTheme="minorBidi" w:hAnsiTheme="minorBidi"/>
          <w:b/>
        </w:rPr>
        <w:t>Praxisnah, lösungsorientiert, vernetzt</w:t>
      </w:r>
    </w:p>
    <w:p w14:paraId="3857E5FA" w14:textId="11379470" w:rsidR="009E547C" w:rsidRPr="009E547C" w:rsidRDefault="00906ADA" w:rsidP="00ED4B7E">
      <w:pPr>
        <w:spacing w:after="240" w:line="274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Dazu</w:t>
      </w:r>
      <w:r w:rsidRPr="009E547C">
        <w:rPr>
          <w:rFonts w:asciiTheme="minorBidi" w:hAnsiTheme="minorBidi"/>
        </w:rPr>
        <w:t xml:space="preserve"> Jan Bauer, Geschäftsführer der RIGK</w:t>
      </w:r>
      <w:r>
        <w:rPr>
          <w:rFonts w:asciiTheme="minorBidi" w:hAnsiTheme="minorBidi"/>
        </w:rPr>
        <w:t>:</w:t>
      </w:r>
      <w:r w:rsidRPr="009E547C">
        <w:rPr>
          <w:rFonts w:asciiTheme="minorBidi" w:hAnsiTheme="minorBidi"/>
        </w:rPr>
        <w:t xml:space="preserve"> </w:t>
      </w:r>
      <w:r w:rsidR="009E547C" w:rsidRPr="009E547C">
        <w:rPr>
          <w:rFonts w:asciiTheme="minorBidi" w:hAnsiTheme="minorBidi"/>
        </w:rPr>
        <w:t xml:space="preserve">„Mit der PPWR beginnt eine neue Phase der europäischen Kreislaufwirtschaft. </w:t>
      </w:r>
      <w:r w:rsidR="00ED4B7E">
        <w:rPr>
          <w:rFonts w:asciiTheme="minorBidi" w:hAnsiTheme="minorBidi"/>
        </w:rPr>
        <w:t xml:space="preserve">Wir wollen </w:t>
      </w:r>
      <w:r w:rsidR="009E547C" w:rsidRPr="009E547C">
        <w:rPr>
          <w:rFonts w:asciiTheme="minorBidi" w:hAnsiTheme="minorBidi"/>
        </w:rPr>
        <w:t>Unternehmen über ihre Pflichten informieren</w:t>
      </w:r>
      <w:r w:rsidR="00ED4B7E">
        <w:rPr>
          <w:rFonts w:asciiTheme="minorBidi" w:hAnsiTheme="minorBidi"/>
        </w:rPr>
        <w:t xml:space="preserve"> und ihnen </w:t>
      </w:r>
      <w:r w:rsidR="009E547C" w:rsidRPr="009E547C">
        <w:rPr>
          <w:rFonts w:asciiTheme="minorBidi" w:hAnsiTheme="minorBidi"/>
        </w:rPr>
        <w:t xml:space="preserve">konkrete Werkzeuge </w:t>
      </w:r>
      <w:r w:rsidR="00E9121D" w:rsidRPr="00E9121D">
        <w:rPr>
          <w:rFonts w:asciiTheme="minorBidi" w:hAnsiTheme="minorBidi"/>
        </w:rPr>
        <w:t>an die Hand geben, mit denen sie die neuen Anforderungen erfolgreich umsetzen können</w:t>
      </w:r>
      <w:r w:rsidR="009E547C" w:rsidRPr="009E547C">
        <w:rPr>
          <w:rFonts w:asciiTheme="minorBidi" w:hAnsiTheme="minorBidi"/>
        </w:rPr>
        <w:t>. Das #RIGKWebinarHub versteht sich dabei als Plattform für Wissen, Austausch und Vernetzung.“</w:t>
      </w:r>
    </w:p>
    <w:p w14:paraId="1F595037" w14:textId="77777777" w:rsidR="004A7B13" w:rsidRDefault="004A7B13" w:rsidP="00ED4B7E">
      <w:pPr>
        <w:spacing w:after="240" w:line="274" w:lineRule="auto"/>
        <w:jc w:val="both"/>
        <w:rPr>
          <w:rFonts w:asciiTheme="minorBidi" w:hAnsiTheme="minorBidi"/>
        </w:rPr>
      </w:pPr>
    </w:p>
    <w:p w14:paraId="6DD5001B" w14:textId="77777777" w:rsidR="00EA1888" w:rsidRDefault="00EA1888" w:rsidP="00ED4B7E">
      <w:pPr>
        <w:spacing w:after="240" w:line="274" w:lineRule="auto"/>
        <w:jc w:val="both"/>
        <w:rPr>
          <w:rFonts w:asciiTheme="minorBidi" w:hAnsiTheme="minorBidi"/>
        </w:rPr>
      </w:pPr>
    </w:p>
    <w:p w14:paraId="7366764D" w14:textId="77777777" w:rsidR="00EA1888" w:rsidRDefault="00EA1888" w:rsidP="00ED4B7E">
      <w:pPr>
        <w:spacing w:after="240" w:line="274" w:lineRule="auto"/>
        <w:jc w:val="both"/>
        <w:rPr>
          <w:rFonts w:asciiTheme="minorBidi" w:hAnsiTheme="minorBidi"/>
        </w:rPr>
      </w:pPr>
    </w:p>
    <w:p w14:paraId="558543E5" w14:textId="46F71167" w:rsidR="00715956" w:rsidRPr="00ED60F0" w:rsidRDefault="00715956" w:rsidP="00ED4B7E">
      <w:pPr>
        <w:spacing w:after="240" w:line="274" w:lineRule="auto"/>
        <w:jc w:val="both"/>
        <w:rPr>
          <w:rFonts w:asciiTheme="minorBidi" w:hAnsiTheme="minorBidi"/>
        </w:rPr>
      </w:pPr>
      <w:r w:rsidRPr="00715956">
        <w:rPr>
          <w:rFonts w:asciiTheme="minorBidi" w:hAnsiTheme="minorBidi"/>
        </w:rPr>
        <w:t xml:space="preserve">Weitere Informationen: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303F1C" w:rsidRPr="00ED60F0" w14:paraId="5F82D3B5" w14:textId="77777777" w:rsidTr="006248E1">
        <w:tc>
          <w:tcPr>
            <w:tcW w:w="4361" w:type="dxa"/>
          </w:tcPr>
          <w:p w14:paraId="123CAD50" w14:textId="77777777" w:rsidR="00303F1C" w:rsidRPr="001E063A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r w:rsidRPr="001E063A"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  <w:t>RIGK GmbH</w:t>
            </w:r>
          </w:p>
          <w:p w14:paraId="3CD19BD2" w14:textId="100AFBD0" w:rsidR="00303F1C" w:rsidRPr="004A7B13" w:rsidRDefault="00715956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Jan Bauer</w:t>
            </w:r>
            <w:r w:rsidR="00303F1C"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(</w:t>
            </w:r>
            <w:r w:rsid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Geschäftsführer</w:t>
            </w:r>
            <w:r w:rsidR="00303F1C"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)</w:t>
            </w:r>
          </w:p>
          <w:p w14:paraId="5053A540" w14:textId="77777777" w:rsidR="00303F1C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Friedrichstr. 6</w:t>
            </w:r>
          </w:p>
          <w:p w14:paraId="33F7598C" w14:textId="77777777" w:rsidR="00303F1C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D-65185 Wiesbaden</w:t>
            </w:r>
          </w:p>
          <w:p w14:paraId="33332CC6" w14:textId="0973B821" w:rsidR="00303F1C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Tel.: +49 (0) 6 11/ 30 86 00-</w:t>
            </w:r>
            <w:r w:rsidR="0062528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56</w:t>
            </w:r>
          </w:p>
          <w:p w14:paraId="4D496465" w14:textId="62A1ACAC" w:rsidR="00D37FA1" w:rsidRPr="00715956" w:rsidRDefault="00715956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</w:pPr>
            <w:hyperlink r:id="rId9" w:history="1">
              <w:r w:rsidRPr="002133AE">
                <w:rPr>
                  <w:rStyle w:val="Hyperlink"/>
                </w:rPr>
                <w:t>bauer@rigk.de</w:t>
              </w:r>
            </w:hyperlink>
            <w:r w:rsidR="00303F1C"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; </w:t>
            </w:r>
            <w:hyperlink r:id="rId10" w:history="1">
              <w:r w:rsidR="00303F1C" w:rsidRPr="00ED60F0">
                <w:rPr>
                  <w:rFonts w:ascii="Arial" w:eastAsia="Times New Roman" w:hAnsi="Arial" w:cs="Arial"/>
                  <w:color w:val="0000FF"/>
                  <w:kern w:val="0"/>
                  <w:sz w:val="22"/>
                  <w:szCs w:val="22"/>
                  <w:u w:val="single"/>
                  <w14:ligatures w14:val="none"/>
                </w:rPr>
                <w:t>www.rigk.de</w:t>
              </w:r>
            </w:hyperlink>
          </w:p>
        </w:tc>
        <w:tc>
          <w:tcPr>
            <w:tcW w:w="4678" w:type="dxa"/>
          </w:tcPr>
          <w:p w14:paraId="139D66F0" w14:textId="77777777" w:rsidR="00303F1C" w:rsidRPr="004A7B13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  <w:t>Redaktioneller Kontakt, Belegexemplare:</w:t>
            </w:r>
          </w:p>
          <w:p w14:paraId="1882BC6A" w14:textId="77777777" w:rsidR="00303F1C" w:rsidRPr="004A7B13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Konsens PR GmbH &amp; Co. KG</w:t>
            </w:r>
          </w:p>
          <w:p w14:paraId="6A82DCF6" w14:textId="77777777" w:rsidR="00303F1C" w:rsidRPr="004A7B13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Dr.-Ing. Jörg Wolters</w:t>
            </w: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br/>
              <w:t>Hans-Böckler-Straße 20</w:t>
            </w:r>
          </w:p>
          <w:p w14:paraId="3963BAE2" w14:textId="77777777" w:rsidR="00303F1C" w:rsidRPr="004A7B13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D-63811 Stockstadt</w:t>
            </w:r>
          </w:p>
          <w:p w14:paraId="4205510F" w14:textId="77777777" w:rsidR="00303F1C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Tel.: +49 (0) 60 27/99005-13</w:t>
            </w:r>
          </w:p>
          <w:p w14:paraId="610387EF" w14:textId="61EA88E3" w:rsidR="00D37FA1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hyperlink r:id="rId11" w:history="1">
              <w:r w:rsidRPr="00ED60F0">
                <w:rPr>
                  <w:rFonts w:ascii="Arial" w:eastAsia="Times New Roman" w:hAnsi="Arial" w:cs="Arial"/>
                  <w:color w:val="0000FF"/>
                  <w:kern w:val="0"/>
                  <w:sz w:val="22"/>
                  <w:szCs w:val="22"/>
                  <w:u w:val="single"/>
                  <w14:ligatures w14:val="none"/>
                </w:rPr>
                <w:t>mail@konsens.de</w:t>
              </w:r>
            </w:hyperlink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; </w:t>
            </w:r>
            <w:hyperlink r:id="rId12" w:history="1">
              <w:r w:rsidR="00D37FA1" w:rsidRPr="00D37FA1">
                <w:rPr>
                  <w:color w:val="0000FF"/>
                  <w:u w:val="single"/>
                </w:rPr>
                <w:t>www.konsens.de</w:t>
              </w:r>
            </w:hyperlink>
          </w:p>
        </w:tc>
      </w:tr>
    </w:tbl>
    <w:p w14:paraId="6BB58F81" w14:textId="77777777" w:rsidR="00303F1C" w:rsidRPr="00412854" w:rsidRDefault="00303F1C" w:rsidP="00ED4B7E">
      <w:pPr>
        <w:shd w:val="clear" w:color="auto" w:fill="DDF3FF"/>
        <w:tabs>
          <w:tab w:val="left" w:pos="7020"/>
          <w:tab w:val="right" w:pos="8789"/>
        </w:tabs>
        <w:suppressAutoHyphens/>
        <w:spacing w:before="360" w:after="0" w:line="240" w:lineRule="auto"/>
        <w:ind w:right="567"/>
        <w:jc w:val="center"/>
        <w:rPr>
          <w:rFonts w:ascii="Arial" w:eastAsia="Times New Roman" w:hAnsi="Arial" w:cs="Arial"/>
          <w:color w:val="000000"/>
          <w:kern w:val="0"/>
          <w:szCs w:val="20"/>
          <w14:ligatures w14:val="none"/>
        </w:rPr>
      </w:pPr>
      <w:r w:rsidRPr="00ED60F0">
        <w:rPr>
          <w:rFonts w:ascii="Arial" w:eastAsia="Times New Roman" w:hAnsi="Arial" w:cs="Arial"/>
          <w:color w:val="000000"/>
          <w:kern w:val="0"/>
          <w:szCs w:val="20"/>
          <w14:ligatures w14:val="none"/>
        </w:rPr>
        <w:t xml:space="preserve">Sie finden diese </w:t>
      </w:r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 xml:space="preserve">Presseinformation als </w:t>
      </w:r>
      <w:proofErr w:type="spellStart"/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>doc</w:t>
      </w:r>
      <w:proofErr w:type="spellEnd"/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 xml:space="preserve">-Datei </w:t>
      </w:r>
      <w:r w:rsidRPr="00ED60F0">
        <w:rPr>
          <w:rFonts w:ascii="Arial" w:eastAsia="Times New Roman" w:hAnsi="Arial" w:cs="Arial"/>
          <w:color w:val="000000"/>
          <w:kern w:val="0"/>
          <w:szCs w:val="20"/>
          <w14:ligatures w14:val="none"/>
        </w:rPr>
        <w:t xml:space="preserve">sowie </w:t>
      </w:r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>die Bilder in druckfähiger Auflösung</w:t>
      </w:r>
      <w:r w:rsidRPr="00ED60F0">
        <w:rPr>
          <w:rFonts w:ascii="Arial" w:eastAsia="Times New Roman" w:hAnsi="Arial" w:cs="Arial"/>
          <w:color w:val="000000"/>
          <w:kern w:val="0"/>
          <w:szCs w:val="20"/>
          <w14:ligatures w14:val="none"/>
        </w:rPr>
        <w:t xml:space="preserve"> zum Herunterladen unter </w:t>
      </w:r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>www.rigk.de/wissenswert/presse</w:t>
      </w:r>
      <w:bookmarkEnd w:id="0"/>
      <w:bookmarkEnd w:id="1"/>
      <w:bookmarkEnd w:id="2"/>
    </w:p>
    <w:sectPr w:rsidR="00303F1C" w:rsidRPr="00412854" w:rsidSect="004C79FE">
      <w:headerReference w:type="default" r:id="rId13"/>
      <w:footerReference w:type="default" r:id="rId14"/>
      <w:pgSz w:w="11906" w:h="16838"/>
      <w:pgMar w:top="1701" w:right="1276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394F" w14:textId="77777777" w:rsidR="008679A8" w:rsidRPr="00ED60F0" w:rsidRDefault="008679A8" w:rsidP="00AF2883">
      <w:pPr>
        <w:spacing w:after="0" w:line="240" w:lineRule="auto"/>
      </w:pPr>
      <w:r w:rsidRPr="00ED60F0">
        <w:separator/>
      </w:r>
    </w:p>
  </w:endnote>
  <w:endnote w:type="continuationSeparator" w:id="0">
    <w:p w14:paraId="4F8C69A7" w14:textId="77777777" w:rsidR="008679A8" w:rsidRPr="00ED60F0" w:rsidRDefault="008679A8" w:rsidP="00AF2883">
      <w:pPr>
        <w:spacing w:after="0" w:line="240" w:lineRule="auto"/>
      </w:pPr>
      <w:r w:rsidRPr="00ED60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F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AA9B" w14:textId="6BF958A1" w:rsidR="00412854" w:rsidRPr="00ED60F0" w:rsidRDefault="00412854" w:rsidP="00412854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ED60F0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ED60F0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ED60F0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ED60F0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ED60F0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ED60F0">
      <w:rPr>
        <w:rFonts w:ascii="FFDIN-Regular" w:hAnsi="FFDIN-Regular" w:cs="FFDIN-Regular"/>
        <w:color w:val="008DFF"/>
        <w:sz w:val="14"/>
        <w:szCs w:val="14"/>
        <w:lang w:bidi="he-IL"/>
      </w:rPr>
      <w:t xml:space="preserve">|  </w:t>
    </w:r>
    <w:hyperlink r:id="rId1" w:history="1">
      <w:r w:rsidRPr="00ED60F0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7B9ACDDD" w14:textId="029C4DBB" w:rsidR="00412854" w:rsidRDefault="00412854" w:rsidP="00412854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 w:rsidRPr="00ED60F0">
      <w:rPr>
        <w:rFonts w:ascii="FFDIN-Regular" w:hAnsi="FFDIN-Regular"/>
        <w:color w:val="000000"/>
        <w:sz w:val="14"/>
      </w:rPr>
      <w:t xml:space="preserve">- Seite </w:t>
    </w:r>
    <w:r w:rsidRPr="00ED60F0">
      <w:rPr>
        <w:rFonts w:ascii="FFDIN-Regular" w:hAnsi="FFDIN-Regular"/>
        <w:color w:val="000000"/>
        <w:sz w:val="14"/>
      </w:rPr>
      <w:fldChar w:fldCharType="begin"/>
    </w:r>
    <w:r w:rsidRPr="00ED60F0">
      <w:rPr>
        <w:rFonts w:ascii="FFDIN-Regular" w:hAnsi="FFDIN-Regular"/>
        <w:color w:val="000000"/>
        <w:sz w:val="14"/>
      </w:rPr>
      <w:instrText>PAGE   \* MERGEFORMAT</w:instrText>
    </w:r>
    <w:r w:rsidRPr="00ED60F0">
      <w:rPr>
        <w:rFonts w:ascii="FFDIN-Regular" w:hAnsi="FFDIN-Regular"/>
        <w:color w:val="000000"/>
        <w:sz w:val="14"/>
      </w:rPr>
      <w:fldChar w:fldCharType="separate"/>
    </w:r>
    <w:r w:rsidRPr="00ED60F0">
      <w:rPr>
        <w:rFonts w:ascii="FFDIN-Regular" w:hAnsi="FFDIN-Regular"/>
        <w:color w:val="000000"/>
        <w:sz w:val="14"/>
      </w:rPr>
      <w:t>1</w:t>
    </w:r>
    <w:r w:rsidRPr="00ED60F0">
      <w:rPr>
        <w:rFonts w:ascii="FFDIN-Regular" w:hAnsi="FFDIN-Regular"/>
        <w:color w:val="000000"/>
        <w:sz w:val="14"/>
      </w:rPr>
      <w:fldChar w:fldCharType="end"/>
    </w:r>
    <w:r w:rsidRPr="00ED60F0">
      <w:rPr>
        <w:rFonts w:ascii="FFDIN-Regular" w:hAnsi="FFDIN-Regular"/>
        <w:color w:val="000000"/>
        <w:sz w:val="14"/>
      </w:rPr>
      <w:t xml:space="preserve"> –</w:t>
    </w:r>
  </w:p>
  <w:p w14:paraId="451FE1D7" w14:textId="77777777" w:rsidR="00236DB5" w:rsidRPr="00ED60F0" w:rsidRDefault="00236DB5" w:rsidP="00412854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17798" w14:textId="77777777" w:rsidR="008679A8" w:rsidRPr="00ED60F0" w:rsidRDefault="008679A8" w:rsidP="00AF2883">
      <w:pPr>
        <w:spacing w:after="0" w:line="240" w:lineRule="auto"/>
      </w:pPr>
      <w:r w:rsidRPr="00ED60F0">
        <w:separator/>
      </w:r>
    </w:p>
  </w:footnote>
  <w:footnote w:type="continuationSeparator" w:id="0">
    <w:p w14:paraId="4546DAC1" w14:textId="77777777" w:rsidR="008679A8" w:rsidRPr="00ED60F0" w:rsidRDefault="008679A8" w:rsidP="00AF2883">
      <w:pPr>
        <w:spacing w:after="0" w:line="240" w:lineRule="auto"/>
      </w:pPr>
      <w:r w:rsidRPr="00ED60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3FA7" w14:textId="0F608518" w:rsidR="00AF2883" w:rsidRPr="00ED60F0" w:rsidRDefault="00412854">
    <w:pPr>
      <w:pStyle w:val="Kopfzeile"/>
    </w:pPr>
    <w:r w:rsidRPr="00ED60F0">
      <w:rPr>
        <w:noProof/>
      </w:rPr>
      <w:drawing>
        <wp:anchor distT="0" distB="0" distL="114300" distR="114300" simplePos="0" relativeHeight="251659264" behindDoc="0" locked="0" layoutInCell="1" allowOverlap="1" wp14:anchorId="04DE940F" wp14:editId="197325E4">
          <wp:simplePos x="0" y="0"/>
          <wp:positionH relativeFrom="column">
            <wp:posOffset>4982210</wp:posOffset>
          </wp:positionH>
          <wp:positionV relativeFrom="paragraph">
            <wp:posOffset>-243205</wp:posOffset>
          </wp:positionV>
          <wp:extent cx="955040" cy="722630"/>
          <wp:effectExtent l="0" t="0" r="0" b="1270"/>
          <wp:wrapSquare wrapText="bothSides"/>
          <wp:docPr id="1752971777" name="Bild 8" descr="RIG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RIG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EC7"/>
    <w:multiLevelType w:val="hybridMultilevel"/>
    <w:tmpl w:val="78E8C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7DA"/>
    <w:multiLevelType w:val="multilevel"/>
    <w:tmpl w:val="5D28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E609F"/>
    <w:multiLevelType w:val="hybridMultilevel"/>
    <w:tmpl w:val="8648153C"/>
    <w:lvl w:ilvl="0" w:tplc="BDE44724">
      <w:numFmt w:val="bullet"/>
      <w:lvlText w:val=""/>
      <w:lvlJc w:val="left"/>
      <w:pPr>
        <w:ind w:left="720" w:hanging="360"/>
      </w:pPr>
      <w:rPr>
        <w:rFonts w:ascii="Wingdings" w:eastAsia="Aptos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151E8"/>
    <w:multiLevelType w:val="multilevel"/>
    <w:tmpl w:val="1346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D3239"/>
    <w:multiLevelType w:val="multilevel"/>
    <w:tmpl w:val="C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313351">
    <w:abstractNumId w:val="1"/>
  </w:num>
  <w:num w:numId="2" w16cid:durableId="844588610">
    <w:abstractNumId w:val="3"/>
  </w:num>
  <w:num w:numId="3" w16cid:durableId="956564591">
    <w:abstractNumId w:val="4"/>
  </w:num>
  <w:num w:numId="4" w16cid:durableId="261306841">
    <w:abstractNumId w:val="2"/>
  </w:num>
  <w:num w:numId="5" w16cid:durableId="16036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0F"/>
    <w:rsid w:val="00003DB4"/>
    <w:rsid w:val="00007172"/>
    <w:rsid w:val="0005621B"/>
    <w:rsid w:val="000655BF"/>
    <w:rsid w:val="000818B3"/>
    <w:rsid w:val="000B052B"/>
    <w:rsid w:val="000B2F7C"/>
    <w:rsid w:val="0012785C"/>
    <w:rsid w:val="00140F76"/>
    <w:rsid w:val="001560DB"/>
    <w:rsid w:val="001A2EE0"/>
    <w:rsid w:val="001C727F"/>
    <w:rsid w:val="001E063A"/>
    <w:rsid w:val="00204DB8"/>
    <w:rsid w:val="00212001"/>
    <w:rsid w:val="00231E7E"/>
    <w:rsid w:val="00234066"/>
    <w:rsid w:val="00236DB5"/>
    <w:rsid w:val="002411A5"/>
    <w:rsid w:val="00243AD0"/>
    <w:rsid w:val="00250AE3"/>
    <w:rsid w:val="00287D1C"/>
    <w:rsid w:val="002971E2"/>
    <w:rsid w:val="002F12C7"/>
    <w:rsid w:val="002F1A98"/>
    <w:rsid w:val="00303F1C"/>
    <w:rsid w:val="00337B7D"/>
    <w:rsid w:val="003A6806"/>
    <w:rsid w:val="00404225"/>
    <w:rsid w:val="00412854"/>
    <w:rsid w:val="00444D51"/>
    <w:rsid w:val="00460BD4"/>
    <w:rsid w:val="00471B4B"/>
    <w:rsid w:val="00472C57"/>
    <w:rsid w:val="00477FAB"/>
    <w:rsid w:val="004A7B13"/>
    <w:rsid w:val="004C2393"/>
    <w:rsid w:val="004C5ACA"/>
    <w:rsid w:val="004C79FE"/>
    <w:rsid w:val="00505353"/>
    <w:rsid w:val="00513AA2"/>
    <w:rsid w:val="0052143A"/>
    <w:rsid w:val="005214F5"/>
    <w:rsid w:val="005A0DCC"/>
    <w:rsid w:val="00607577"/>
    <w:rsid w:val="0062528A"/>
    <w:rsid w:val="006354FB"/>
    <w:rsid w:val="00666566"/>
    <w:rsid w:val="0067610D"/>
    <w:rsid w:val="00682C05"/>
    <w:rsid w:val="00715956"/>
    <w:rsid w:val="00733B01"/>
    <w:rsid w:val="00742322"/>
    <w:rsid w:val="007C720F"/>
    <w:rsid w:val="0081370E"/>
    <w:rsid w:val="008569B1"/>
    <w:rsid w:val="00866CCF"/>
    <w:rsid w:val="008679A8"/>
    <w:rsid w:val="00872B60"/>
    <w:rsid w:val="00875C54"/>
    <w:rsid w:val="008C5D29"/>
    <w:rsid w:val="00906ADA"/>
    <w:rsid w:val="0091202A"/>
    <w:rsid w:val="009376B1"/>
    <w:rsid w:val="00952A3A"/>
    <w:rsid w:val="0097776C"/>
    <w:rsid w:val="00993DBD"/>
    <w:rsid w:val="009B609A"/>
    <w:rsid w:val="009E547C"/>
    <w:rsid w:val="00A02818"/>
    <w:rsid w:val="00A11395"/>
    <w:rsid w:val="00A22EDE"/>
    <w:rsid w:val="00A74765"/>
    <w:rsid w:val="00AA454F"/>
    <w:rsid w:val="00AF2883"/>
    <w:rsid w:val="00C10CED"/>
    <w:rsid w:val="00D37FA1"/>
    <w:rsid w:val="00D609B2"/>
    <w:rsid w:val="00D62BB0"/>
    <w:rsid w:val="00DA69EC"/>
    <w:rsid w:val="00DD4295"/>
    <w:rsid w:val="00E041C0"/>
    <w:rsid w:val="00E347BE"/>
    <w:rsid w:val="00E5153E"/>
    <w:rsid w:val="00E9121D"/>
    <w:rsid w:val="00E9413A"/>
    <w:rsid w:val="00EA1888"/>
    <w:rsid w:val="00ED4B7E"/>
    <w:rsid w:val="00ED60F0"/>
    <w:rsid w:val="00F06FDD"/>
    <w:rsid w:val="00F144DF"/>
    <w:rsid w:val="00F408CC"/>
    <w:rsid w:val="00F76442"/>
    <w:rsid w:val="00F80C5D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AD35B"/>
  <w15:chartTrackingRefBased/>
  <w15:docId w15:val="{223F581D-CA59-400F-9A45-5051AC3A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47C"/>
  </w:style>
  <w:style w:type="paragraph" w:styleId="berschrift1">
    <w:name w:val="heading 1"/>
    <w:basedOn w:val="Standard"/>
    <w:next w:val="Standard"/>
    <w:link w:val="berschrift1Zchn"/>
    <w:uiPriority w:val="9"/>
    <w:qFormat/>
    <w:rsid w:val="007C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72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72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72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72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72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72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72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72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72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72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72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C720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20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C720F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81370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F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883"/>
  </w:style>
  <w:style w:type="paragraph" w:styleId="Fuzeile">
    <w:name w:val="footer"/>
    <w:basedOn w:val="Standard"/>
    <w:link w:val="FuzeileZchn"/>
    <w:uiPriority w:val="99"/>
    <w:unhideWhenUsed/>
    <w:rsid w:val="00AF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883"/>
  </w:style>
  <w:style w:type="character" w:styleId="BesuchterLink">
    <w:name w:val="FollowedHyperlink"/>
    <w:basedOn w:val="Absatz-Standardschriftart"/>
    <w:uiPriority w:val="99"/>
    <w:semiHidden/>
    <w:unhideWhenUsed/>
    <w:rsid w:val="0005621B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85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041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041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041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4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41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062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872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36ca1c95-0550-4818-9390-99389e3c5d81@cddb7dde-8656-49c1-9f8a-66c7037dbe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onsen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konsen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igk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uer@rigk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Gattinger</dc:creator>
  <cp:keywords/>
  <dc:description/>
  <cp:lastModifiedBy>Mirco Gattinger</cp:lastModifiedBy>
  <cp:revision>13</cp:revision>
  <dcterms:created xsi:type="dcterms:W3CDTF">2025-08-27T11:20:00Z</dcterms:created>
  <dcterms:modified xsi:type="dcterms:W3CDTF">2025-08-28T07:07:00Z</dcterms:modified>
</cp:coreProperties>
</file>