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63021" w14:textId="7D861641" w:rsidR="00AF2883" w:rsidRPr="00ED60F0" w:rsidRDefault="00AF2883" w:rsidP="00ED4B7E">
      <w:pPr>
        <w:suppressAutoHyphens/>
        <w:spacing w:after="120" w:line="240" w:lineRule="auto"/>
        <w:ind w:right="567"/>
        <w:rPr>
          <w:rFonts w:ascii="Arial" w:hAnsi="Arial" w:cs="Arial"/>
          <w:b/>
          <w:color w:val="0079BA"/>
          <w:sz w:val="44"/>
          <w:szCs w:val="44"/>
        </w:rPr>
      </w:pPr>
      <w:bookmarkStart w:id="0" w:name="_Hlk191298630"/>
      <w:bookmarkStart w:id="1" w:name="_Hlk191298772"/>
      <w:r w:rsidRPr="00ED60F0">
        <w:rPr>
          <w:rFonts w:ascii="Arial" w:hAnsi="Arial" w:cs="Arial"/>
          <w:b/>
          <w:color w:val="0079BA"/>
          <w:sz w:val="44"/>
          <w:szCs w:val="44"/>
        </w:rPr>
        <w:t>PRESSEMITTEILUNG</w:t>
      </w:r>
    </w:p>
    <w:p w14:paraId="1FB99872" w14:textId="2935DBA5" w:rsidR="00B63FC9" w:rsidRDefault="00B63FC9" w:rsidP="004D11DC">
      <w:pPr>
        <w:tabs>
          <w:tab w:val="right" w:pos="8789"/>
        </w:tabs>
        <w:suppressAutoHyphens/>
        <w:spacing w:before="120"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B63FC9">
        <w:rPr>
          <w:rFonts w:ascii="Arial" w:hAnsi="Arial" w:cs="Arial"/>
          <w:color w:val="000000"/>
          <w:sz w:val="36"/>
          <w:szCs w:val="36"/>
        </w:rPr>
        <w:t xml:space="preserve">RIGK auf IFAT und </w:t>
      </w:r>
      <w:r w:rsidR="00564AB6">
        <w:rPr>
          <w:rFonts w:ascii="Arial" w:hAnsi="Arial" w:cs="Arial"/>
          <w:color w:val="000000"/>
          <w:sz w:val="36"/>
          <w:szCs w:val="36"/>
        </w:rPr>
        <w:t xml:space="preserve">PRS </w:t>
      </w:r>
      <w:r w:rsidRPr="00B63FC9">
        <w:rPr>
          <w:rFonts w:ascii="Arial" w:hAnsi="Arial" w:cs="Arial"/>
          <w:color w:val="000000"/>
          <w:sz w:val="36"/>
          <w:szCs w:val="36"/>
        </w:rPr>
        <w:t>E</w:t>
      </w:r>
      <w:r w:rsidR="00564AB6">
        <w:rPr>
          <w:rFonts w:ascii="Arial" w:hAnsi="Arial" w:cs="Arial"/>
          <w:color w:val="000000"/>
          <w:sz w:val="36"/>
          <w:szCs w:val="36"/>
        </w:rPr>
        <w:t>urope</w:t>
      </w:r>
      <w:r w:rsidRPr="00B63FC9">
        <w:rPr>
          <w:rFonts w:ascii="Arial" w:hAnsi="Arial" w:cs="Arial"/>
          <w:color w:val="000000"/>
          <w:sz w:val="36"/>
          <w:szCs w:val="36"/>
        </w:rPr>
        <w:t xml:space="preserve"> 2026</w:t>
      </w:r>
      <w:r w:rsidR="0091202A">
        <w:rPr>
          <w:rFonts w:ascii="Arial" w:hAnsi="Arial" w:cs="Arial"/>
          <w:color w:val="000000"/>
          <w:sz w:val="36"/>
          <w:szCs w:val="36"/>
        </w:rPr>
        <w:t>:</w:t>
      </w:r>
      <w:r w:rsidR="0091202A" w:rsidRPr="00E9413A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67D1189C" w14:textId="4071B3E5" w:rsidR="00AF2883" w:rsidRPr="00ED60F0" w:rsidRDefault="00B63FC9" w:rsidP="004D11DC">
      <w:pPr>
        <w:tabs>
          <w:tab w:val="right" w:pos="8789"/>
        </w:tabs>
        <w:suppressAutoHyphens/>
        <w:spacing w:after="240" w:line="240" w:lineRule="auto"/>
        <w:rPr>
          <w:rFonts w:ascii="Arial" w:hAnsi="Arial" w:cs="Arial"/>
          <w:color w:val="000000"/>
          <w:sz w:val="36"/>
          <w:szCs w:val="36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72BEC4F" wp14:editId="2723AC94">
            <wp:simplePos x="0" y="0"/>
            <wp:positionH relativeFrom="column">
              <wp:posOffset>33020</wp:posOffset>
            </wp:positionH>
            <wp:positionV relativeFrom="paragraph">
              <wp:posOffset>643890</wp:posOffset>
            </wp:positionV>
            <wp:extent cx="5358130" cy="3483610"/>
            <wp:effectExtent l="0" t="0" r="0" b="2540"/>
            <wp:wrapTopAndBottom/>
            <wp:docPr id="3508739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73933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FC9">
        <w:rPr>
          <w:rFonts w:ascii="Arial" w:hAnsi="Arial" w:cs="Arial"/>
          <w:color w:val="000000"/>
          <w:sz w:val="36"/>
          <w:szCs w:val="36"/>
        </w:rPr>
        <w:t>Netzwerk zeigt Lösungen für Rücknahme, PPWR-Umsetzung und Rezyklatqualität</w:t>
      </w:r>
    </w:p>
    <w:p w14:paraId="018C5274" w14:textId="15A232FD" w:rsidR="00460BD4" w:rsidRPr="00D37FA1" w:rsidRDefault="00564AB6" w:rsidP="00ED4B7E">
      <w:pPr>
        <w:spacing w:before="120" w:line="24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Auf den Leitmessen IFAT und PRSE zeigt RIGK Möglichkeiten</w:t>
      </w:r>
      <w:r w:rsidR="00B63FC9" w:rsidRPr="00B63FC9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die</w:t>
      </w:r>
      <w:r w:rsidR="00B56D9C">
        <w:rPr>
          <w:i/>
          <w:iCs/>
          <w:sz w:val="22"/>
          <w:szCs w:val="22"/>
        </w:rPr>
        <w:t xml:space="preserve"> die</w:t>
      </w:r>
      <w:r>
        <w:rPr>
          <w:i/>
          <w:iCs/>
          <w:sz w:val="22"/>
          <w:szCs w:val="22"/>
        </w:rPr>
        <w:t xml:space="preserve"> </w:t>
      </w:r>
      <w:r w:rsidR="00B63FC9" w:rsidRPr="00B63FC9">
        <w:rPr>
          <w:i/>
          <w:iCs/>
          <w:sz w:val="22"/>
          <w:szCs w:val="22"/>
        </w:rPr>
        <w:t>Kreislaufwirtschaft wirksam</w:t>
      </w:r>
      <w:r w:rsidR="00B63FC9">
        <w:rPr>
          <w:i/>
          <w:iCs/>
          <w:sz w:val="22"/>
          <w:szCs w:val="22"/>
        </w:rPr>
        <w:t xml:space="preserve"> voranbringen</w:t>
      </w:r>
      <w:r w:rsidR="00460BD4" w:rsidRPr="00D37FA1">
        <w:rPr>
          <w:i/>
          <w:iCs/>
          <w:sz w:val="22"/>
          <w:szCs w:val="22"/>
        </w:rPr>
        <w:t>. © RIGK</w:t>
      </w:r>
    </w:p>
    <w:p w14:paraId="04ED437E" w14:textId="2F2211E0" w:rsidR="00D37FA1" w:rsidRPr="00D37FA1" w:rsidRDefault="00303F1C" w:rsidP="008F3C6C">
      <w:pPr>
        <w:spacing w:before="240" w:after="120" w:line="274" w:lineRule="auto"/>
        <w:jc w:val="both"/>
        <w:rPr>
          <w:rFonts w:asciiTheme="minorBidi" w:hAnsiTheme="minorBidi"/>
        </w:rPr>
      </w:pPr>
      <w:r w:rsidRPr="00ED60F0">
        <w:rPr>
          <w:rFonts w:asciiTheme="minorBidi" w:hAnsiTheme="minorBidi"/>
        </w:rPr>
        <w:t xml:space="preserve">Wiesbaden, </w:t>
      </w:r>
      <w:r w:rsidR="00B63FC9">
        <w:rPr>
          <w:rFonts w:asciiTheme="minorBidi" w:hAnsiTheme="minorBidi"/>
        </w:rPr>
        <w:t>März</w:t>
      </w:r>
      <w:r w:rsidRPr="00ED60F0">
        <w:rPr>
          <w:rFonts w:asciiTheme="minorBidi" w:hAnsiTheme="minorBidi"/>
        </w:rPr>
        <w:t xml:space="preserve"> 202</w:t>
      </w:r>
      <w:r w:rsidR="00B63FC9">
        <w:rPr>
          <w:rFonts w:asciiTheme="minorBidi" w:hAnsiTheme="minorBidi"/>
        </w:rPr>
        <w:t>6</w:t>
      </w:r>
      <w:r w:rsidRPr="00ED60F0">
        <w:rPr>
          <w:rFonts w:asciiTheme="minorBidi" w:hAnsiTheme="minorBidi"/>
        </w:rPr>
        <w:t xml:space="preserve"> </w:t>
      </w:r>
      <w:bookmarkStart w:id="2" w:name="_Hlk191298688"/>
      <w:r w:rsidRPr="00ED60F0">
        <w:rPr>
          <w:rFonts w:asciiTheme="minorBidi" w:hAnsiTheme="minorBidi"/>
        </w:rPr>
        <w:t xml:space="preserve">– </w:t>
      </w:r>
      <w:r w:rsidR="00564AB6">
        <w:rPr>
          <w:rFonts w:asciiTheme="minorBidi" w:hAnsiTheme="minorBidi"/>
        </w:rPr>
        <w:t xml:space="preserve">Auf den </w:t>
      </w:r>
      <w:r w:rsidR="00DF0E72">
        <w:rPr>
          <w:rFonts w:asciiTheme="minorBidi" w:hAnsiTheme="minorBidi"/>
        </w:rPr>
        <w:t xml:space="preserve">nahezu zeitgleich </w:t>
      </w:r>
      <w:r w:rsidR="008F3C6C">
        <w:rPr>
          <w:rFonts w:asciiTheme="minorBidi" w:hAnsiTheme="minorBidi"/>
        </w:rPr>
        <w:t xml:space="preserve">laufenden </w:t>
      </w:r>
      <w:r w:rsidR="00DF0E72">
        <w:rPr>
          <w:rFonts w:asciiTheme="minorBidi" w:hAnsiTheme="minorBidi"/>
        </w:rPr>
        <w:t xml:space="preserve">Messen </w:t>
      </w:r>
      <w:r w:rsidR="00DF0E72" w:rsidRPr="00295356">
        <w:rPr>
          <w:rFonts w:asciiTheme="minorBidi" w:hAnsiTheme="minorBidi"/>
        </w:rPr>
        <w:t xml:space="preserve">IFAT </w:t>
      </w:r>
      <w:r w:rsidR="00DF0E72">
        <w:rPr>
          <w:rFonts w:asciiTheme="minorBidi" w:hAnsiTheme="minorBidi"/>
        </w:rPr>
        <w:t>(</w:t>
      </w:r>
      <w:r w:rsidR="00DF0E72" w:rsidRPr="00295356">
        <w:rPr>
          <w:rFonts w:asciiTheme="minorBidi" w:hAnsiTheme="minorBidi"/>
        </w:rPr>
        <w:t>München</w:t>
      </w:r>
      <w:r w:rsidR="00DF0E72">
        <w:rPr>
          <w:rFonts w:asciiTheme="minorBidi" w:hAnsiTheme="minorBidi"/>
        </w:rPr>
        <w:t>,</w:t>
      </w:r>
      <w:r w:rsidR="00DF0E72" w:rsidRPr="00295356">
        <w:rPr>
          <w:rFonts w:asciiTheme="minorBidi" w:hAnsiTheme="minorBidi"/>
        </w:rPr>
        <w:t xml:space="preserve"> 4.–7. Mai) und PRSE</w:t>
      </w:r>
      <w:r w:rsidR="00DF0E72">
        <w:rPr>
          <w:rFonts w:asciiTheme="minorBidi" w:hAnsiTheme="minorBidi"/>
        </w:rPr>
        <w:t xml:space="preserve"> </w:t>
      </w:r>
      <w:r w:rsidR="005C796E">
        <w:rPr>
          <w:rFonts w:asciiTheme="minorBidi" w:hAnsiTheme="minorBidi"/>
        </w:rPr>
        <w:t>(</w:t>
      </w:r>
      <w:r w:rsidR="00DF0E72" w:rsidRPr="00295356">
        <w:rPr>
          <w:rFonts w:asciiTheme="minorBidi" w:hAnsiTheme="minorBidi"/>
        </w:rPr>
        <w:t>Amsterdam</w:t>
      </w:r>
      <w:r w:rsidR="00DF0E72">
        <w:rPr>
          <w:rFonts w:asciiTheme="minorBidi" w:hAnsiTheme="minorBidi"/>
        </w:rPr>
        <w:t>,</w:t>
      </w:r>
      <w:r w:rsidR="00DF0E72" w:rsidRPr="00295356">
        <w:rPr>
          <w:rFonts w:asciiTheme="minorBidi" w:hAnsiTheme="minorBidi"/>
        </w:rPr>
        <w:t xml:space="preserve"> 5.–6. Mai 2026) </w:t>
      </w:r>
      <w:r w:rsidR="005C796E">
        <w:rPr>
          <w:rFonts w:asciiTheme="minorBidi" w:hAnsiTheme="minorBidi"/>
        </w:rPr>
        <w:t xml:space="preserve">präsentiert </w:t>
      </w:r>
      <w:r w:rsidR="00B56D9C">
        <w:rPr>
          <w:rFonts w:asciiTheme="minorBidi" w:hAnsiTheme="minorBidi"/>
        </w:rPr>
        <w:t>sich RIGK</w:t>
      </w:r>
      <w:r w:rsidR="00564AB6">
        <w:rPr>
          <w:rFonts w:asciiTheme="minorBidi" w:hAnsiTheme="minorBidi"/>
        </w:rPr>
        <w:t xml:space="preserve"> </w:t>
      </w:r>
      <w:r w:rsidR="005C796E">
        <w:rPr>
          <w:rFonts w:asciiTheme="minorBidi" w:hAnsiTheme="minorBidi"/>
        </w:rPr>
        <w:t xml:space="preserve">zusammen mit </w:t>
      </w:r>
      <w:r w:rsidR="00295356" w:rsidRPr="00295356">
        <w:rPr>
          <w:rFonts w:asciiTheme="minorBidi" w:hAnsiTheme="minorBidi"/>
        </w:rPr>
        <w:t>sein</w:t>
      </w:r>
      <w:r w:rsidR="005C796E">
        <w:rPr>
          <w:rFonts w:asciiTheme="minorBidi" w:hAnsiTheme="minorBidi"/>
        </w:rPr>
        <w:t>em</w:t>
      </w:r>
      <w:r w:rsidR="00295356" w:rsidRPr="00295356">
        <w:rPr>
          <w:rFonts w:asciiTheme="minorBidi" w:hAnsiTheme="minorBidi"/>
        </w:rPr>
        <w:t xml:space="preserve"> Netzwerk</w:t>
      </w:r>
      <w:r w:rsidR="00DF0E72">
        <w:rPr>
          <w:rFonts w:asciiTheme="minorBidi" w:hAnsiTheme="minorBidi"/>
        </w:rPr>
        <w:t xml:space="preserve">, zu dem auch </w:t>
      </w:r>
      <w:r w:rsidR="00DF0E72" w:rsidRPr="00DF0E72">
        <w:rPr>
          <w:rFonts w:asciiTheme="minorBidi" w:hAnsiTheme="minorBidi"/>
        </w:rPr>
        <w:t xml:space="preserve">plastship, Hannawald Plastik, </w:t>
      </w:r>
      <w:r w:rsidR="00B56D9C">
        <w:rPr>
          <w:rFonts w:asciiTheme="minorBidi" w:hAnsiTheme="minorBidi"/>
        </w:rPr>
        <w:t>PACKLIANCE</w:t>
      </w:r>
      <w:r w:rsidR="00DF0E72" w:rsidRPr="00DF0E72">
        <w:rPr>
          <w:rFonts w:asciiTheme="minorBidi" w:hAnsiTheme="minorBidi"/>
        </w:rPr>
        <w:t xml:space="preserve"> sowie d</w:t>
      </w:r>
      <w:r w:rsidR="00B56D9C">
        <w:rPr>
          <w:rFonts w:asciiTheme="minorBidi" w:hAnsiTheme="minorBidi"/>
        </w:rPr>
        <w:t xml:space="preserve">ie </w:t>
      </w:r>
      <w:r w:rsidR="00B56D9C" w:rsidRPr="00B56D9C">
        <w:rPr>
          <w:rFonts w:asciiTheme="minorBidi" w:hAnsiTheme="minorBidi"/>
        </w:rPr>
        <w:t>DAkkS-akkreditierte PlastCert-Einheit</w:t>
      </w:r>
      <w:r w:rsidR="00B56D9C">
        <w:rPr>
          <w:rFonts w:asciiTheme="minorBidi" w:hAnsiTheme="minorBidi"/>
        </w:rPr>
        <w:t xml:space="preserve"> </w:t>
      </w:r>
      <w:r w:rsidR="00DF0E72">
        <w:rPr>
          <w:rFonts w:asciiTheme="minorBidi" w:hAnsiTheme="minorBidi"/>
        </w:rPr>
        <w:t>gehören</w:t>
      </w:r>
      <w:r w:rsidR="00295356" w:rsidRPr="00295356">
        <w:rPr>
          <w:rFonts w:asciiTheme="minorBidi" w:hAnsiTheme="minorBidi"/>
        </w:rPr>
        <w:t>. Im Fokus stehen praxisnahe Rücknahmesysteme</w:t>
      </w:r>
      <w:r w:rsidR="00DF0E72">
        <w:rPr>
          <w:rFonts w:asciiTheme="minorBidi" w:hAnsiTheme="minorBidi"/>
        </w:rPr>
        <w:t xml:space="preserve"> sowie Dienstleistung</w:t>
      </w:r>
      <w:r w:rsidR="00B56D9C">
        <w:rPr>
          <w:rFonts w:asciiTheme="minorBidi" w:hAnsiTheme="minorBidi"/>
        </w:rPr>
        <w:t>en</w:t>
      </w:r>
      <w:r w:rsidR="00DF0E72">
        <w:rPr>
          <w:rFonts w:asciiTheme="minorBidi" w:hAnsiTheme="minorBidi"/>
        </w:rPr>
        <w:t xml:space="preserve"> rund um die Themen </w:t>
      </w:r>
      <w:r w:rsidR="00DF0E72" w:rsidRPr="00DF0E72">
        <w:rPr>
          <w:rFonts w:asciiTheme="minorBidi" w:hAnsiTheme="minorBidi"/>
        </w:rPr>
        <w:t>Packaging and Packaging Waste Regulation (PPWR)</w:t>
      </w:r>
      <w:r w:rsidR="00DF0E72">
        <w:rPr>
          <w:rFonts w:asciiTheme="minorBidi" w:hAnsiTheme="minorBidi"/>
        </w:rPr>
        <w:t xml:space="preserve">, </w:t>
      </w:r>
      <w:r w:rsidR="00DF0E72" w:rsidRPr="00DF0E72">
        <w:rPr>
          <w:rFonts w:asciiTheme="minorBidi" w:hAnsiTheme="minorBidi"/>
        </w:rPr>
        <w:t xml:space="preserve">Extended Producer Responsibility </w:t>
      </w:r>
      <w:r w:rsidR="00DF0E72">
        <w:rPr>
          <w:rFonts w:asciiTheme="minorBidi" w:hAnsiTheme="minorBidi"/>
        </w:rPr>
        <w:t>(</w:t>
      </w:r>
      <w:r w:rsidR="00295356" w:rsidRPr="00295356">
        <w:rPr>
          <w:rFonts w:asciiTheme="minorBidi" w:hAnsiTheme="minorBidi"/>
        </w:rPr>
        <w:t>EPR</w:t>
      </w:r>
      <w:r w:rsidR="00DF0E72">
        <w:rPr>
          <w:rFonts w:asciiTheme="minorBidi" w:hAnsiTheme="minorBidi"/>
        </w:rPr>
        <w:t>)</w:t>
      </w:r>
      <w:r w:rsidR="00295356" w:rsidRPr="00295356">
        <w:rPr>
          <w:rFonts w:asciiTheme="minorBidi" w:hAnsiTheme="minorBidi"/>
        </w:rPr>
        <w:t xml:space="preserve"> sowie Zertifizierung und Materialtransparenz</w:t>
      </w:r>
      <w:r w:rsidR="00DF0E72">
        <w:rPr>
          <w:rFonts w:asciiTheme="minorBidi" w:hAnsiTheme="minorBidi"/>
        </w:rPr>
        <w:t xml:space="preserve"> </w:t>
      </w:r>
      <w:r w:rsidR="00295356" w:rsidRPr="00295356">
        <w:rPr>
          <w:rFonts w:asciiTheme="minorBidi" w:hAnsiTheme="minorBidi"/>
        </w:rPr>
        <w:t>als Grundlage</w:t>
      </w:r>
      <w:r w:rsidR="00DF0E72">
        <w:rPr>
          <w:rFonts w:asciiTheme="minorBidi" w:hAnsiTheme="minorBidi"/>
        </w:rPr>
        <w:t>n</w:t>
      </w:r>
      <w:r w:rsidR="00295356" w:rsidRPr="00295356">
        <w:rPr>
          <w:rFonts w:asciiTheme="minorBidi" w:hAnsiTheme="minorBidi"/>
        </w:rPr>
        <w:t xml:space="preserve"> für verlässliche Kreislauf</w:t>
      </w:r>
      <w:r w:rsidR="004D11DC">
        <w:rPr>
          <w:rFonts w:asciiTheme="minorBidi" w:hAnsiTheme="minorBidi"/>
        </w:rPr>
        <w:t>lösungen</w:t>
      </w:r>
      <w:r w:rsidR="00295356" w:rsidRPr="00295356">
        <w:rPr>
          <w:rFonts w:asciiTheme="minorBidi" w:hAnsiTheme="minorBidi"/>
        </w:rPr>
        <w:t xml:space="preserve">, </w:t>
      </w:r>
      <w:r w:rsidR="00DF0E72">
        <w:rPr>
          <w:rFonts w:asciiTheme="minorBidi" w:hAnsiTheme="minorBidi"/>
        </w:rPr>
        <w:t>ge</w:t>
      </w:r>
      <w:r w:rsidR="00295356" w:rsidRPr="00295356">
        <w:rPr>
          <w:rFonts w:asciiTheme="minorBidi" w:hAnsiTheme="minorBidi"/>
        </w:rPr>
        <w:t>steige</w:t>
      </w:r>
      <w:r w:rsidR="00DF0E72">
        <w:rPr>
          <w:rFonts w:asciiTheme="minorBidi" w:hAnsiTheme="minorBidi"/>
        </w:rPr>
        <w:t>rt</w:t>
      </w:r>
      <w:r w:rsidR="00295356" w:rsidRPr="00295356">
        <w:rPr>
          <w:rFonts w:asciiTheme="minorBidi" w:hAnsiTheme="minorBidi"/>
        </w:rPr>
        <w:t xml:space="preserve">en Rezyklateinsatz und </w:t>
      </w:r>
      <w:r w:rsidR="00DF0E72">
        <w:rPr>
          <w:rFonts w:asciiTheme="minorBidi" w:hAnsiTheme="minorBidi"/>
        </w:rPr>
        <w:t xml:space="preserve">die </w:t>
      </w:r>
      <w:r w:rsidR="00295356" w:rsidRPr="00295356">
        <w:rPr>
          <w:rFonts w:asciiTheme="minorBidi" w:hAnsiTheme="minorBidi"/>
        </w:rPr>
        <w:t>wirtschaftlich tragfähige Umsetzung in der Praxis</w:t>
      </w:r>
      <w:r w:rsidR="00E9121D" w:rsidRPr="00E9121D">
        <w:rPr>
          <w:rFonts w:asciiTheme="minorBidi" w:hAnsiTheme="minorBidi"/>
        </w:rPr>
        <w:t>.</w:t>
      </w:r>
    </w:p>
    <w:p w14:paraId="1F9694C6" w14:textId="6195C610" w:rsidR="00A22EDE" w:rsidRPr="00ED60F0" w:rsidRDefault="008F3C6C" w:rsidP="005C796E">
      <w:pPr>
        <w:spacing w:after="240" w:line="274" w:lineRule="auto"/>
        <w:jc w:val="both"/>
        <w:rPr>
          <w:rFonts w:asciiTheme="minorBidi" w:hAnsiTheme="minorBidi"/>
        </w:rPr>
      </w:pPr>
      <w:r w:rsidRPr="008F3C6C">
        <w:rPr>
          <w:rFonts w:asciiTheme="minorBidi" w:hAnsiTheme="minorBidi"/>
        </w:rPr>
        <w:t>RIGK ist auf der IFAT in Halle A6 auf Stand 316 und auf der PRSE auf Stand B18 zu finden.</w:t>
      </w:r>
      <w:r>
        <w:rPr>
          <w:rFonts w:asciiTheme="minorBidi" w:hAnsiTheme="minorBidi"/>
        </w:rPr>
        <w:t xml:space="preserve"> </w:t>
      </w:r>
      <w:r w:rsidR="005C796E" w:rsidRPr="005C796E">
        <w:rPr>
          <w:rFonts w:asciiTheme="minorBidi" w:hAnsiTheme="minorBidi"/>
        </w:rPr>
        <w:t xml:space="preserve">Während </w:t>
      </w:r>
      <w:r w:rsidR="005C796E">
        <w:rPr>
          <w:rFonts w:asciiTheme="minorBidi" w:hAnsiTheme="minorBidi"/>
        </w:rPr>
        <w:t xml:space="preserve">die </w:t>
      </w:r>
      <w:r w:rsidR="005C796E" w:rsidRPr="005C796E">
        <w:rPr>
          <w:rFonts w:asciiTheme="minorBidi" w:hAnsiTheme="minorBidi"/>
        </w:rPr>
        <w:t xml:space="preserve">IFAT </w:t>
      </w:r>
      <w:r>
        <w:rPr>
          <w:rFonts w:asciiTheme="minorBidi" w:hAnsiTheme="minorBidi"/>
        </w:rPr>
        <w:t xml:space="preserve">ihre </w:t>
      </w:r>
      <w:r w:rsidR="005C796E" w:rsidRPr="005C796E">
        <w:rPr>
          <w:rFonts w:asciiTheme="minorBidi" w:hAnsiTheme="minorBidi"/>
        </w:rPr>
        <w:t>Schwerpunkte</w:t>
      </w:r>
      <w:r w:rsidR="005C796E">
        <w:rPr>
          <w:rFonts w:asciiTheme="minorBidi" w:hAnsiTheme="minorBidi"/>
        </w:rPr>
        <w:t xml:space="preserve"> bei </w:t>
      </w:r>
      <w:r w:rsidR="005C796E" w:rsidRPr="005C796E">
        <w:rPr>
          <w:rFonts w:asciiTheme="minorBidi" w:hAnsiTheme="minorBidi"/>
        </w:rPr>
        <w:t>Umwelttechnologien, Abfall- und Ressourcenmanagement</w:t>
      </w:r>
      <w:r w:rsidR="005C796E">
        <w:rPr>
          <w:rFonts w:asciiTheme="minorBidi" w:hAnsiTheme="minorBidi"/>
        </w:rPr>
        <w:t xml:space="preserve"> sowie </w:t>
      </w:r>
      <w:r w:rsidR="005C796E" w:rsidRPr="005C796E">
        <w:rPr>
          <w:rFonts w:asciiTheme="minorBidi" w:hAnsiTheme="minorBidi"/>
        </w:rPr>
        <w:t>Kreislaufwirtschaft</w:t>
      </w:r>
      <w:r w:rsidR="005C796E">
        <w:rPr>
          <w:rFonts w:asciiTheme="minorBidi" w:hAnsiTheme="minorBidi"/>
        </w:rPr>
        <w:t xml:space="preserve"> setzt, stehen bei der </w:t>
      </w:r>
      <w:r w:rsidR="005C796E" w:rsidRPr="005C796E">
        <w:rPr>
          <w:rFonts w:asciiTheme="minorBidi" w:hAnsiTheme="minorBidi"/>
        </w:rPr>
        <w:t xml:space="preserve">PRSE </w:t>
      </w:r>
      <w:r w:rsidR="005C796E">
        <w:rPr>
          <w:rFonts w:asciiTheme="minorBidi" w:hAnsiTheme="minorBidi"/>
        </w:rPr>
        <w:t xml:space="preserve">Produkte und Innovationen rund um das </w:t>
      </w:r>
      <w:r w:rsidR="005C796E" w:rsidRPr="005C796E">
        <w:rPr>
          <w:rFonts w:asciiTheme="minorBidi" w:hAnsiTheme="minorBidi"/>
        </w:rPr>
        <w:t>Kunststoffrecycling</w:t>
      </w:r>
      <w:r w:rsidR="005C796E">
        <w:rPr>
          <w:rFonts w:asciiTheme="minorBidi" w:hAnsiTheme="minorBidi"/>
        </w:rPr>
        <w:t xml:space="preserve"> im Mittelpunkt. </w:t>
      </w:r>
      <w:r w:rsidR="00DF0E72">
        <w:rPr>
          <w:rFonts w:asciiTheme="minorBidi" w:hAnsiTheme="minorBidi"/>
        </w:rPr>
        <w:t>Dazu</w:t>
      </w:r>
      <w:r w:rsidR="00DF0E72" w:rsidRPr="00B63FC9">
        <w:rPr>
          <w:rFonts w:asciiTheme="minorBidi" w:hAnsiTheme="minorBidi"/>
        </w:rPr>
        <w:t xml:space="preserve"> Jan Bauer, Geschäftsführer der RIGK</w:t>
      </w:r>
      <w:r w:rsidR="00DF0E72">
        <w:rPr>
          <w:rFonts w:asciiTheme="minorBidi" w:hAnsiTheme="minorBidi"/>
        </w:rPr>
        <w:t xml:space="preserve">: </w:t>
      </w:r>
      <w:r w:rsidR="00295356">
        <w:rPr>
          <w:rFonts w:asciiTheme="minorBidi" w:hAnsiTheme="minorBidi"/>
        </w:rPr>
        <w:t>„</w:t>
      </w:r>
      <w:r>
        <w:rPr>
          <w:rFonts w:asciiTheme="minorBidi" w:hAnsiTheme="minorBidi"/>
        </w:rPr>
        <w:t>Auf beiden Messen nutzen wir die Chance, zu zeigen</w:t>
      </w:r>
      <w:r w:rsidR="00DF0E72">
        <w:rPr>
          <w:rFonts w:asciiTheme="minorBidi" w:hAnsiTheme="minorBidi"/>
        </w:rPr>
        <w:t xml:space="preserve">, wie sich </w:t>
      </w:r>
      <w:r w:rsidR="00295356" w:rsidRPr="00295356">
        <w:rPr>
          <w:rFonts w:asciiTheme="minorBidi" w:hAnsiTheme="minorBidi"/>
        </w:rPr>
        <w:t>kurze Wege zwischen Praxis, Regulierung und Markt</w:t>
      </w:r>
      <w:r w:rsidR="00DF0E72">
        <w:rPr>
          <w:rFonts w:asciiTheme="minorBidi" w:hAnsiTheme="minorBidi"/>
        </w:rPr>
        <w:t xml:space="preserve"> einrichten und etablieren lassen</w:t>
      </w:r>
      <w:r w:rsidR="00295356" w:rsidRPr="00295356">
        <w:rPr>
          <w:rFonts w:asciiTheme="minorBidi" w:hAnsiTheme="minorBidi"/>
        </w:rPr>
        <w:t xml:space="preserve">. </w:t>
      </w:r>
      <w:r w:rsidR="00DF0E72">
        <w:rPr>
          <w:rFonts w:asciiTheme="minorBidi" w:hAnsiTheme="minorBidi"/>
        </w:rPr>
        <w:t>V</w:t>
      </w:r>
      <w:r w:rsidR="00295356" w:rsidRPr="00295356">
        <w:rPr>
          <w:rFonts w:asciiTheme="minorBidi" w:hAnsiTheme="minorBidi"/>
        </w:rPr>
        <w:t>or Ort</w:t>
      </w:r>
      <w:r w:rsidR="00DF0E72">
        <w:rPr>
          <w:rFonts w:asciiTheme="minorBidi" w:hAnsiTheme="minorBidi"/>
        </w:rPr>
        <w:t xml:space="preserve"> erläutern wir unseren </w:t>
      </w:r>
      <w:r w:rsidR="00B56D9C" w:rsidRPr="00B56D9C">
        <w:rPr>
          <w:rFonts w:asciiTheme="minorBidi" w:hAnsiTheme="minorBidi"/>
        </w:rPr>
        <w:t>Standbesucherinnen und -besuchern</w:t>
      </w:r>
      <w:r w:rsidR="00DF0E72">
        <w:rPr>
          <w:rFonts w:asciiTheme="minorBidi" w:hAnsiTheme="minorBidi"/>
        </w:rPr>
        <w:t xml:space="preserve">, </w:t>
      </w:r>
      <w:r w:rsidR="00295356" w:rsidRPr="00295356">
        <w:rPr>
          <w:rFonts w:asciiTheme="minorBidi" w:hAnsiTheme="minorBidi"/>
        </w:rPr>
        <w:t>wie Rücknahme, Verwertung, Compliance und Qualitätssicherung als Gesamtpaket funktionieren</w:t>
      </w:r>
      <w:r w:rsidR="005C796E">
        <w:rPr>
          <w:rFonts w:asciiTheme="minorBidi" w:hAnsiTheme="minorBidi"/>
        </w:rPr>
        <w:t xml:space="preserve"> und wie sich damit die </w:t>
      </w:r>
      <w:r w:rsidR="00295356" w:rsidRPr="00295356">
        <w:rPr>
          <w:rFonts w:asciiTheme="minorBidi" w:hAnsiTheme="minorBidi"/>
        </w:rPr>
        <w:t xml:space="preserve">Kreislaufwirtschaft nicht nur regelkonform, sondern auch planbar und wirtschaftlich </w:t>
      </w:r>
      <w:r w:rsidR="005C796E">
        <w:rPr>
          <w:rFonts w:asciiTheme="minorBidi" w:hAnsiTheme="minorBidi"/>
        </w:rPr>
        <w:t>realisieren lässt.</w:t>
      </w:r>
      <w:r w:rsidR="00B63FC9" w:rsidRPr="00B63FC9">
        <w:rPr>
          <w:rFonts w:asciiTheme="minorBidi" w:hAnsiTheme="minorBidi"/>
        </w:rPr>
        <w:t>“</w:t>
      </w:r>
    </w:p>
    <w:p w14:paraId="357327EB" w14:textId="77777777" w:rsidR="005C796E" w:rsidRDefault="005C796E" w:rsidP="00B63FC9">
      <w:pPr>
        <w:spacing w:after="60" w:line="274" w:lineRule="auto"/>
        <w:rPr>
          <w:rFonts w:asciiTheme="minorBidi" w:hAnsiTheme="minorBidi"/>
          <w:b/>
        </w:rPr>
        <w:sectPr w:rsidR="005C796E" w:rsidSect="00B63FC9">
          <w:headerReference w:type="default" r:id="rId8"/>
          <w:footerReference w:type="default" r:id="rId9"/>
          <w:type w:val="continuous"/>
          <w:pgSz w:w="11906" w:h="16838"/>
          <w:pgMar w:top="1701" w:right="1276" w:bottom="709" w:left="1418" w:header="709" w:footer="0" w:gutter="0"/>
          <w:cols w:space="708"/>
          <w:docGrid w:linePitch="360"/>
        </w:sectPr>
      </w:pPr>
    </w:p>
    <w:p w14:paraId="28E5E4DC" w14:textId="4E6442D8" w:rsidR="00B63FC9" w:rsidRPr="00B63FC9" w:rsidRDefault="00B56D9C" w:rsidP="00B63FC9">
      <w:pPr>
        <w:spacing w:after="60" w:line="274" w:lineRule="auto"/>
        <w:rPr>
          <w:rFonts w:asciiTheme="minorBidi" w:hAnsiTheme="minorBidi"/>
          <w:b/>
        </w:rPr>
      </w:pPr>
      <w:r>
        <w:rPr>
          <w:rFonts w:asciiTheme="minorBidi" w:hAnsiTheme="minorBidi"/>
          <w:b/>
        </w:rPr>
        <w:lastRenderedPageBreak/>
        <w:t>EPR-</w:t>
      </w:r>
      <w:r w:rsidR="00B63FC9" w:rsidRPr="00B63FC9">
        <w:rPr>
          <w:rFonts w:asciiTheme="minorBidi" w:hAnsiTheme="minorBidi"/>
          <w:b/>
        </w:rPr>
        <w:t>Lösungen für Rücknahme und Verwertung – branchenübergreifend</w:t>
      </w:r>
    </w:p>
    <w:p w14:paraId="34A423B5" w14:textId="3000BB71" w:rsidR="00B63FC9" w:rsidRDefault="00295356" w:rsidP="00B63FC9">
      <w:pPr>
        <w:spacing w:after="240" w:line="274" w:lineRule="auto"/>
        <w:jc w:val="both"/>
        <w:rPr>
          <w:rFonts w:asciiTheme="minorBidi" w:hAnsiTheme="minorBidi"/>
          <w:bCs/>
        </w:rPr>
      </w:pPr>
      <w:r w:rsidRPr="00295356">
        <w:rPr>
          <w:rFonts w:asciiTheme="minorBidi" w:hAnsiTheme="minorBidi"/>
          <w:bCs/>
        </w:rPr>
        <w:t xml:space="preserve">RIGK unterstützt Industrie, Gewerbe und Landwirtschaft </w:t>
      </w:r>
      <w:r w:rsidR="00B56D9C" w:rsidRPr="00B56D9C">
        <w:rPr>
          <w:rFonts w:asciiTheme="minorBidi" w:hAnsiTheme="minorBidi"/>
          <w:bCs/>
        </w:rPr>
        <w:t>bei der gesetzeskonformen und effizienten Rücknahme und Verwertung</w:t>
      </w:r>
      <w:r w:rsidRPr="00295356">
        <w:rPr>
          <w:rFonts w:asciiTheme="minorBidi" w:hAnsiTheme="minorBidi"/>
          <w:bCs/>
        </w:rPr>
        <w:t xml:space="preserve"> von Verpackungen und Kunststoffen. Vorgestellt werden u. a. Systeme wie RIGK-SYSTEM, RIGK-G-SYSTEM und RIGK-PICKUP sowie branchenspezifische Lösungen für die Landwirtschaft, darunter PAMIRA, BEIZE, VerenA, ERDE und PRE-SERVICE</w:t>
      </w:r>
      <w:r w:rsidR="00B63FC9" w:rsidRPr="00B63FC9">
        <w:rPr>
          <w:rFonts w:asciiTheme="minorBidi" w:hAnsiTheme="minorBidi"/>
          <w:bCs/>
        </w:rPr>
        <w:t>.</w:t>
      </w:r>
    </w:p>
    <w:p w14:paraId="501DF704" w14:textId="1FC5D30E" w:rsidR="00295356" w:rsidRPr="00B63FC9" w:rsidRDefault="00295356" w:rsidP="00295356">
      <w:pPr>
        <w:spacing w:after="60" w:line="274" w:lineRule="auto"/>
        <w:rPr>
          <w:rFonts w:asciiTheme="minorBidi" w:hAnsiTheme="minorBidi"/>
          <w:b/>
        </w:rPr>
      </w:pPr>
      <w:r w:rsidRPr="00295356">
        <w:rPr>
          <w:rFonts w:asciiTheme="minorBidi" w:hAnsiTheme="minorBidi"/>
          <w:b/>
        </w:rPr>
        <w:t xml:space="preserve">Netzwerk entlang der </w:t>
      </w:r>
      <w:r>
        <w:rPr>
          <w:rFonts w:asciiTheme="minorBidi" w:hAnsiTheme="minorBidi"/>
          <w:b/>
        </w:rPr>
        <w:t xml:space="preserve">gesamten </w:t>
      </w:r>
      <w:r w:rsidRPr="00295356">
        <w:rPr>
          <w:rFonts w:asciiTheme="minorBidi" w:hAnsiTheme="minorBidi"/>
          <w:b/>
        </w:rPr>
        <w:t>Wertschöpfungskette</w:t>
      </w:r>
    </w:p>
    <w:p w14:paraId="289A4080" w14:textId="77652B43" w:rsidR="00295356" w:rsidRPr="00B63FC9" w:rsidRDefault="00295356" w:rsidP="00295356">
      <w:pPr>
        <w:spacing w:after="240" w:line="274" w:lineRule="auto"/>
        <w:jc w:val="both"/>
        <w:rPr>
          <w:rFonts w:asciiTheme="minorBidi" w:hAnsiTheme="minorBidi"/>
          <w:bCs/>
        </w:rPr>
      </w:pPr>
      <w:r w:rsidRPr="00295356">
        <w:rPr>
          <w:rFonts w:asciiTheme="minorBidi" w:hAnsiTheme="minorBidi"/>
          <w:bCs/>
        </w:rPr>
        <w:t>Gemeinsam mit Hannawald Plastik und plastship ergänzt RIGK die Rücknahmesysteme um Bausteine für die operative Umsetzung</w:t>
      </w:r>
      <w:r w:rsidR="008F3C6C">
        <w:rPr>
          <w:rFonts w:asciiTheme="minorBidi" w:hAnsiTheme="minorBidi"/>
          <w:bCs/>
        </w:rPr>
        <w:t xml:space="preserve">. Diese umfassen die </w:t>
      </w:r>
      <w:r w:rsidRPr="00295356">
        <w:rPr>
          <w:rFonts w:asciiTheme="minorBidi" w:hAnsiTheme="minorBidi"/>
          <w:bCs/>
        </w:rPr>
        <w:t xml:space="preserve">Sortierung und Aufbereitung gewerblicher Kunststoffströme </w:t>
      </w:r>
      <w:r w:rsidR="008F3C6C">
        <w:rPr>
          <w:rFonts w:asciiTheme="minorBidi" w:hAnsiTheme="minorBidi"/>
          <w:bCs/>
        </w:rPr>
        <w:t xml:space="preserve">ebenso wie die </w:t>
      </w:r>
      <w:r w:rsidRPr="00295356">
        <w:rPr>
          <w:rFonts w:asciiTheme="minorBidi" w:hAnsiTheme="minorBidi"/>
          <w:bCs/>
        </w:rPr>
        <w:t xml:space="preserve">transparente Materialsteuerung bis hin zur Vermarktung recycelter Kunststoffe. Zusätzlich unterstützt RIGK Industrie- und Gewerbekunden mit Lösungen rund um </w:t>
      </w:r>
      <w:r w:rsidR="008F3C6C">
        <w:rPr>
          <w:rFonts w:asciiTheme="minorBidi" w:hAnsiTheme="minorBidi"/>
          <w:bCs/>
        </w:rPr>
        <w:t xml:space="preserve">die Themen </w:t>
      </w:r>
      <w:r w:rsidRPr="00295356">
        <w:rPr>
          <w:rFonts w:asciiTheme="minorBidi" w:hAnsiTheme="minorBidi"/>
          <w:bCs/>
        </w:rPr>
        <w:t>Werksentsorgung und Stoffstrommanagement</w:t>
      </w:r>
      <w:r w:rsidRPr="00B63FC9">
        <w:rPr>
          <w:rFonts w:asciiTheme="minorBidi" w:hAnsiTheme="minorBidi"/>
          <w:bCs/>
        </w:rPr>
        <w:t>.</w:t>
      </w:r>
    </w:p>
    <w:p w14:paraId="17FAAC06" w14:textId="506964D3" w:rsidR="00B63FC9" w:rsidRPr="00B63FC9" w:rsidRDefault="00B63FC9" w:rsidP="00B63FC9">
      <w:pPr>
        <w:spacing w:after="60" w:line="274" w:lineRule="auto"/>
        <w:rPr>
          <w:rFonts w:asciiTheme="minorBidi" w:hAnsiTheme="minorBidi"/>
          <w:b/>
        </w:rPr>
      </w:pPr>
      <w:r w:rsidRPr="00B63FC9">
        <w:rPr>
          <w:rFonts w:asciiTheme="minorBidi" w:hAnsiTheme="minorBidi"/>
          <w:b/>
        </w:rPr>
        <w:t>PPWR: Anforderungen einordnen – Umsetzung strukturieren</w:t>
      </w:r>
    </w:p>
    <w:p w14:paraId="30AA30E3" w14:textId="60233FFC" w:rsidR="00B63FC9" w:rsidRPr="00B63FC9" w:rsidRDefault="008F3C6C" w:rsidP="00B63FC9">
      <w:pPr>
        <w:spacing w:after="240" w:line="274" w:lineRule="auto"/>
        <w:jc w:val="both"/>
        <w:rPr>
          <w:rFonts w:asciiTheme="minorBidi" w:hAnsiTheme="minorBidi"/>
          <w:bCs/>
        </w:rPr>
      </w:pPr>
      <w:r>
        <w:rPr>
          <w:rFonts w:asciiTheme="minorBidi" w:hAnsiTheme="minorBidi"/>
          <w:bCs/>
        </w:rPr>
        <w:t>Angesichts steigender</w:t>
      </w:r>
      <w:r w:rsidR="00B63FC9" w:rsidRPr="00B63FC9">
        <w:rPr>
          <w:rFonts w:asciiTheme="minorBidi" w:hAnsiTheme="minorBidi"/>
          <w:bCs/>
        </w:rPr>
        <w:t xml:space="preserve"> Anforderungen </w:t>
      </w:r>
      <w:r>
        <w:rPr>
          <w:rFonts w:asciiTheme="minorBidi" w:hAnsiTheme="minorBidi"/>
          <w:bCs/>
        </w:rPr>
        <w:t xml:space="preserve">der EU </w:t>
      </w:r>
      <w:r w:rsidR="00B63FC9" w:rsidRPr="00B63FC9">
        <w:rPr>
          <w:rFonts w:asciiTheme="minorBidi" w:hAnsiTheme="minorBidi"/>
          <w:bCs/>
        </w:rPr>
        <w:t xml:space="preserve">rückt die Umsetzbarkeit in den Vordergrund. </w:t>
      </w:r>
      <w:r w:rsidR="00B56D9C" w:rsidRPr="00B56D9C">
        <w:rPr>
          <w:rFonts w:asciiTheme="minorBidi" w:hAnsiTheme="minorBidi"/>
          <w:bCs/>
        </w:rPr>
        <w:t xml:space="preserve">PACKLIANCE unterstützt als Beratungsunternehmen bei der Umsetzung </w:t>
      </w:r>
      <w:r w:rsidR="00B56D9C">
        <w:rPr>
          <w:rFonts w:asciiTheme="minorBidi" w:hAnsiTheme="minorBidi"/>
          <w:bCs/>
        </w:rPr>
        <w:t xml:space="preserve">von </w:t>
      </w:r>
      <w:r w:rsidR="00B56D9C" w:rsidRPr="00B56D9C">
        <w:rPr>
          <w:rFonts w:asciiTheme="minorBidi" w:hAnsiTheme="minorBidi"/>
          <w:bCs/>
        </w:rPr>
        <w:t xml:space="preserve">Verpflichtungen </w:t>
      </w:r>
      <w:r w:rsidR="00B56D9C">
        <w:rPr>
          <w:rFonts w:asciiTheme="minorBidi" w:hAnsiTheme="minorBidi"/>
          <w:bCs/>
        </w:rPr>
        <w:t xml:space="preserve">im Zuge </w:t>
      </w:r>
      <w:r w:rsidR="00B56D9C" w:rsidRPr="00B56D9C">
        <w:rPr>
          <w:rFonts w:asciiTheme="minorBidi" w:hAnsiTheme="minorBidi"/>
          <w:bCs/>
        </w:rPr>
        <w:t>der PPWR</w:t>
      </w:r>
      <w:r w:rsidR="00B63FC9" w:rsidRPr="00B63FC9">
        <w:rPr>
          <w:rFonts w:asciiTheme="minorBidi" w:hAnsiTheme="minorBidi"/>
          <w:bCs/>
        </w:rPr>
        <w:t>.</w:t>
      </w:r>
    </w:p>
    <w:p w14:paraId="0C225234" w14:textId="77777777" w:rsidR="00B63FC9" w:rsidRPr="00B63FC9" w:rsidRDefault="00B63FC9" w:rsidP="00B63FC9">
      <w:pPr>
        <w:spacing w:after="60" w:line="274" w:lineRule="auto"/>
        <w:rPr>
          <w:rFonts w:asciiTheme="minorBidi" w:hAnsiTheme="minorBidi"/>
          <w:b/>
        </w:rPr>
      </w:pPr>
      <w:r w:rsidRPr="00B63FC9">
        <w:rPr>
          <w:rFonts w:asciiTheme="minorBidi" w:hAnsiTheme="minorBidi"/>
          <w:b/>
        </w:rPr>
        <w:t>PlastCert: Zertifizierung und Materialtransparenz</w:t>
      </w:r>
    </w:p>
    <w:p w14:paraId="0913206F" w14:textId="3FA36C17" w:rsidR="00B63FC9" w:rsidRPr="00B63FC9" w:rsidRDefault="00B63FC9" w:rsidP="00B63FC9">
      <w:pPr>
        <w:spacing w:after="240" w:line="274" w:lineRule="auto"/>
        <w:jc w:val="both"/>
        <w:rPr>
          <w:rFonts w:asciiTheme="minorBidi" w:hAnsiTheme="minorBidi"/>
          <w:bCs/>
        </w:rPr>
      </w:pPr>
      <w:r w:rsidRPr="00B63FC9">
        <w:rPr>
          <w:rFonts w:asciiTheme="minorBidi" w:hAnsiTheme="minorBidi"/>
          <w:bCs/>
        </w:rPr>
        <w:t>Die PlastCert-Einheit bietet anerkannte Zertifizierungen, u. a. für RecyClass Recycling Process und Recycled Plastic Traceability als Basis für Transparenz entlang der Lieferkette und belastbare Nachweise.</w:t>
      </w:r>
    </w:p>
    <w:p w14:paraId="558543E5" w14:textId="46F71167" w:rsidR="00715956" w:rsidRPr="00ED60F0" w:rsidRDefault="00715956" w:rsidP="00ED4B7E">
      <w:pPr>
        <w:spacing w:after="240" w:line="274" w:lineRule="auto"/>
        <w:jc w:val="both"/>
        <w:rPr>
          <w:rFonts w:asciiTheme="minorBidi" w:hAnsiTheme="minorBidi"/>
        </w:rPr>
      </w:pPr>
      <w:r w:rsidRPr="00715956">
        <w:rPr>
          <w:rFonts w:asciiTheme="minorBidi" w:hAnsiTheme="minorBidi"/>
        </w:rPr>
        <w:t xml:space="preserve">Weitere Informationen: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4678"/>
      </w:tblGrid>
      <w:tr w:rsidR="00303F1C" w:rsidRPr="00ED60F0" w14:paraId="5F82D3B5" w14:textId="77777777" w:rsidTr="006248E1">
        <w:tc>
          <w:tcPr>
            <w:tcW w:w="4361" w:type="dxa"/>
          </w:tcPr>
          <w:p w14:paraId="123CAD50" w14:textId="77777777" w:rsidR="00303F1C" w:rsidRPr="001E063A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r w:rsidRPr="001E063A"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  <w:t>RIGK GmbH</w:t>
            </w:r>
          </w:p>
          <w:p w14:paraId="3CD19BD2" w14:textId="100AFBD0" w:rsidR="00303F1C" w:rsidRPr="004A7B13" w:rsidRDefault="00715956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Jan Bauer</w:t>
            </w:r>
            <w:r w:rsidR="00303F1C"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 (</w:t>
            </w:r>
            <w:r w:rsid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Geschäftsführer</w:t>
            </w:r>
            <w:r w:rsidR="00303F1C"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)</w:t>
            </w:r>
          </w:p>
          <w:p w14:paraId="5053A540" w14:textId="77777777" w:rsidR="00303F1C" w:rsidRPr="00ED60F0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Friedrichstr. 6</w:t>
            </w:r>
          </w:p>
          <w:p w14:paraId="33F7598C" w14:textId="77777777" w:rsidR="00303F1C" w:rsidRPr="00ED60F0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D-65185 Wiesbaden</w:t>
            </w:r>
          </w:p>
          <w:p w14:paraId="33332CC6" w14:textId="0973B821" w:rsidR="00303F1C" w:rsidRPr="00ED60F0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Tel.: +49 (0) 6 11/ 30 86 00-</w:t>
            </w:r>
            <w:r w:rsidR="0062528A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56</w:t>
            </w:r>
          </w:p>
          <w:p w14:paraId="4D496465" w14:textId="62A1ACAC" w:rsidR="00D37FA1" w:rsidRPr="00715956" w:rsidRDefault="00715956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</w:pPr>
            <w:hyperlink r:id="rId10" w:history="1">
              <w:r w:rsidRPr="002133AE">
                <w:rPr>
                  <w:rStyle w:val="Hyperlink"/>
                </w:rPr>
                <w:t>bauer@rigk.de</w:t>
              </w:r>
            </w:hyperlink>
            <w:r w:rsidR="00303F1C"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; </w:t>
            </w:r>
            <w:hyperlink r:id="rId11" w:history="1">
              <w:r w:rsidR="00303F1C" w:rsidRPr="00ED60F0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14:ligatures w14:val="none"/>
                </w:rPr>
                <w:t>www.rigk.de</w:t>
              </w:r>
            </w:hyperlink>
          </w:p>
        </w:tc>
        <w:tc>
          <w:tcPr>
            <w:tcW w:w="4678" w:type="dxa"/>
          </w:tcPr>
          <w:p w14:paraId="139D66F0" w14:textId="77777777" w:rsidR="00303F1C" w:rsidRPr="004A7B13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  <w:t>Redaktioneller Kontakt, Belegexemplare:</w:t>
            </w:r>
          </w:p>
          <w:p w14:paraId="1882BC6A" w14:textId="77777777" w:rsidR="00303F1C" w:rsidRPr="004A7B13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Konsens PR GmbH &amp; Co. KG</w:t>
            </w:r>
          </w:p>
          <w:p w14:paraId="6A82DCF6" w14:textId="77777777" w:rsidR="00303F1C" w:rsidRPr="004A7B13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Dr.-Ing. Jörg Wolters</w:t>
            </w: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br/>
              <w:t>Hans-Böckler-Straße 20</w:t>
            </w:r>
          </w:p>
          <w:p w14:paraId="3963BAE2" w14:textId="77777777" w:rsidR="00303F1C" w:rsidRPr="004A7B13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4A7B13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D-63811 Stockstadt</w:t>
            </w:r>
          </w:p>
          <w:p w14:paraId="4205510F" w14:textId="77777777" w:rsidR="00303F1C" w:rsidRPr="00ED60F0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>Tel.: +49 (0) 60 27/99005-13</w:t>
            </w:r>
          </w:p>
          <w:p w14:paraId="610387EF" w14:textId="61EA88E3" w:rsidR="00D37FA1" w:rsidRPr="00ED60F0" w:rsidRDefault="00303F1C" w:rsidP="00ED4B7E">
            <w:pPr>
              <w:tabs>
                <w:tab w:val="left" w:pos="7020"/>
                <w:tab w:val="right" w:pos="8789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:u w:val="single"/>
                <w14:ligatures w14:val="none"/>
              </w:rPr>
            </w:pPr>
            <w:hyperlink r:id="rId12" w:history="1">
              <w:r w:rsidRPr="00ED60F0">
                <w:rPr>
                  <w:rFonts w:ascii="Arial" w:eastAsia="Times New Roman" w:hAnsi="Arial" w:cs="Arial"/>
                  <w:color w:val="0000FF"/>
                  <w:kern w:val="0"/>
                  <w:sz w:val="22"/>
                  <w:szCs w:val="22"/>
                  <w:u w:val="single"/>
                  <w14:ligatures w14:val="none"/>
                </w:rPr>
                <w:t>mail@konsens.de</w:t>
              </w:r>
            </w:hyperlink>
            <w:r w:rsidRPr="00ED60F0"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  <w:t xml:space="preserve">; </w:t>
            </w:r>
            <w:hyperlink r:id="rId13" w:history="1">
              <w:r w:rsidR="00D37FA1" w:rsidRPr="00D37FA1">
                <w:rPr>
                  <w:color w:val="0000FF"/>
                  <w:u w:val="single"/>
                </w:rPr>
                <w:t>www.konsens.de</w:t>
              </w:r>
            </w:hyperlink>
          </w:p>
        </w:tc>
      </w:tr>
    </w:tbl>
    <w:p w14:paraId="6BB58F81" w14:textId="77777777" w:rsidR="00303F1C" w:rsidRPr="00412854" w:rsidRDefault="00303F1C" w:rsidP="00ED4B7E">
      <w:pPr>
        <w:shd w:val="clear" w:color="auto" w:fill="DDF3FF"/>
        <w:tabs>
          <w:tab w:val="left" w:pos="7020"/>
          <w:tab w:val="right" w:pos="8789"/>
        </w:tabs>
        <w:suppressAutoHyphens/>
        <w:spacing w:before="360" w:after="0" w:line="240" w:lineRule="auto"/>
        <w:ind w:right="567"/>
        <w:jc w:val="center"/>
        <w:rPr>
          <w:rFonts w:ascii="Arial" w:eastAsia="Times New Roman" w:hAnsi="Arial" w:cs="Arial"/>
          <w:color w:val="000000"/>
          <w:kern w:val="0"/>
          <w:szCs w:val="20"/>
          <w14:ligatures w14:val="none"/>
        </w:rPr>
      </w:pP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Sie finden diese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 xml:space="preserve">Presseinformation als doc-Datei </w:t>
      </w: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sowie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>die Bilder in druckfähiger Auflösung</w:t>
      </w:r>
      <w:r w:rsidRPr="00ED60F0">
        <w:rPr>
          <w:rFonts w:ascii="Arial" w:eastAsia="Times New Roman" w:hAnsi="Arial" w:cs="Arial"/>
          <w:color w:val="000000"/>
          <w:kern w:val="0"/>
          <w:szCs w:val="20"/>
          <w14:ligatures w14:val="none"/>
        </w:rPr>
        <w:t xml:space="preserve"> zum Herunterladen unter </w:t>
      </w:r>
      <w:r w:rsidRPr="00ED60F0">
        <w:rPr>
          <w:rFonts w:ascii="Arial" w:eastAsia="Times New Roman" w:hAnsi="Arial" w:cs="Arial"/>
          <w:color w:val="000000"/>
          <w:kern w:val="0"/>
          <w:szCs w:val="20"/>
          <w:u w:val="single"/>
          <w14:ligatures w14:val="none"/>
        </w:rPr>
        <w:t>www.rigk.de/wissenswert/presse</w:t>
      </w:r>
      <w:bookmarkEnd w:id="0"/>
      <w:bookmarkEnd w:id="1"/>
      <w:bookmarkEnd w:id="2"/>
    </w:p>
    <w:sectPr w:rsidR="00303F1C" w:rsidRPr="00412854" w:rsidSect="00B63FC9">
      <w:type w:val="continuous"/>
      <w:pgSz w:w="11906" w:h="16838"/>
      <w:pgMar w:top="1701" w:right="1276" w:bottom="70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49365" w14:textId="77777777" w:rsidR="00EE523A" w:rsidRPr="00ED60F0" w:rsidRDefault="00EE523A" w:rsidP="00AF2883">
      <w:pPr>
        <w:spacing w:after="0" w:line="240" w:lineRule="auto"/>
      </w:pPr>
      <w:r w:rsidRPr="00ED60F0">
        <w:separator/>
      </w:r>
    </w:p>
  </w:endnote>
  <w:endnote w:type="continuationSeparator" w:id="0">
    <w:p w14:paraId="625FD723" w14:textId="77777777" w:rsidR="00EE523A" w:rsidRPr="00ED60F0" w:rsidRDefault="00EE523A" w:rsidP="00AF2883">
      <w:pPr>
        <w:spacing w:after="0" w:line="240" w:lineRule="auto"/>
      </w:pPr>
      <w:r w:rsidRPr="00ED60F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F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BAA9B" w14:textId="6BF958A1" w:rsidR="00412854" w:rsidRPr="00ED60F0" w:rsidRDefault="00412854" w:rsidP="00412854">
    <w:pPr>
      <w:pStyle w:val="Fuzeile"/>
      <w:tabs>
        <w:tab w:val="clear" w:pos="9072"/>
        <w:tab w:val="right" w:pos="9356"/>
      </w:tabs>
      <w:ind w:left="-567" w:right="-426"/>
      <w:jc w:val="center"/>
      <w:rPr>
        <w:rFonts w:ascii="FFDIN-Regular" w:hAnsi="FFDIN-Regular" w:cs="FFDIN-Regular"/>
        <w:color w:val="000000"/>
        <w:sz w:val="14"/>
        <w:szCs w:val="14"/>
        <w:lang w:bidi="he-IL"/>
      </w:rPr>
    </w:pPr>
    <w:r w:rsidRPr="00ED60F0">
      <w:rPr>
        <w:rFonts w:ascii="FFDIN-Bold" w:hAnsi="FFDIN-Bold" w:cs="FFDIN-Bold"/>
        <w:b/>
        <w:bCs/>
        <w:color w:val="008DFF"/>
        <w:sz w:val="14"/>
        <w:szCs w:val="14"/>
        <w:lang w:bidi="he-IL"/>
      </w:rPr>
      <w:t xml:space="preserve">RIGK GmbH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ED60F0">
      <w:rPr>
        <w:rFonts w:ascii="FFDIN-Regular" w:hAnsi="FFDIN-Regular" w:cs="FFDIN-Regular"/>
        <w:color w:val="000000"/>
        <w:sz w:val="14"/>
        <w:szCs w:val="14"/>
        <w:lang w:bidi="he-IL"/>
      </w:rPr>
      <w:t xml:space="preserve">Friedrichstraße 6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ED60F0">
      <w:rPr>
        <w:rFonts w:ascii="FFDIN-Regular" w:hAnsi="FFDIN-Regular" w:cs="FFDIN-Regular"/>
        <w:color w:val="000000"/>
        <w:sz w:val="14"/>
        <w:szCs w:val="14"/>
        <w:lang w:bidi="he-IL"/>
      </w:rPr>
      <w:t xml:space="preserve">65185 Wiesbaden (Germany) </w:t>
    </w:r>
    <w:r w:rsidRPr="00ED60F0">
      <w:rPr>
        <w:rFonts w:ascii="FFDIN-Regular" w:hAnsi="FFDIN-Regular" w:cs="FFDIN-Regular"/>
        <w:color w:val="008DFF"/>
        <w:sz w:val="14"/>
        <w:szCs w:val="14"/>
        <w:lang w:bidi="he-IL"/>
      </w:rPr>
      <w:t xml:space="preserve">|  </w:t>
    </w:r>
    <w:hyperlink r:id="rId1" w:history="1">
      <w:r w:rsidRPr="00ED60F0">
        <w:rPr>
          <w:rStyle w:val="Hyperlink"/>
          <w:rFonts w:ascii="FFDIN-Regular" w:hAnsi="FFDIN-Regular" w:cs="FFDIN-Regular"/>
          <w:sz w:val="14"/>
          <w:szCs w:val="14"/>
          <w:lang w:bidi="he-IL"/>
        </w:rPr>
        <w:t>www.rigk.de</w:t>
      </w:r>
    </w:hyperlink>
  </w:p>
  <w:p w14:paraId="7B9ACDDD" w14:textId="029C4DBB" w:rsidR="00412854" w:rsidRDefault="00412854" w:rsidP="00412854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  <w:r w:rsidRPr="00ED60F0">
      <w:rPr>
        <w:rFonts w:ascii="FFDIN-Regular" w:hAnsi="FFDIN-Regular"/>
        <w:color w:val="000000"/>
        <w:sz w:val="14"/>
      </w:rPr>
      <w:t xml:space="preserve">- Seite </w:t>
    </w:r>
    <w:r w:rsidRPr="00ED60F0">
      <w:rPr>
        <w:rFonts w:ascii="FFDIN-Regular" w:hAnsi="FFDIN-Regular"/>
        <w:color w:val="000000"/>
        <w:sz w:val="14"/>
      </w:rPr>
      <w:fldChar w:fldCharType="begin"/>
    </w:r>
    <w:r w:rsidRPr="00ED60F0">
      <w:rPr>
        <w:rFonts w:ascii="FFDIN-Regular" w:hAnsi="FFDIN-Regular"/>
        <w:color w:val="000000"/>
        <w:sz w:val="14"/>
      </w:rPr>
      <w:instrText>PAGE   \* MERGEFORMAT</w:instrText>
    </w:r>
    <w:r w:rsidRPr="00ED60F0">
      <w:rPr>
        <w:rFonts w:ascii="FFDIN-Regular" w:hAnsi="FFDIN-Regular"/>
        <w:color w:val="000000"/>
        <w:sz w:val="14"/>
      </w:rPr>
      <w:fldChar w:fldCharType="separate"/>
    </w:r>
    <w:r w:rsidRPr="00ED60F0">
      <w:rPr>
        <w:rFonts w:ascii="FFDIN-Regular" w:hAnsi="FFDIN-Regular"/>
        <w:color w:val="000000"/>
        <w:sz w:val="14"/>
      </w:rPr>
      <w:t>1</w:t>
    </w:r>
    <w:r w:rsidRPr="00ED60F0">
      <w:rPr>
        <w:rFonts w:ascii="FFDIN-Regular" w:hAnsi="FFDIN-Regular"/>
        <w:color w:val="000000"/>
        <w:sz w:val="14"/>
      </w:rPr>
      <w:fldChar w:fldCharType="end"/>
    </w:r>
    <w:r w:rsidRPr="00ED60F0">
      <w:rPr>
        <w:rFonts w:ascii="FFDIN-Regular" w:hAnsi="FFDIN-Regular"/>
        <w:color w:val="000000"/>
        <w:sz w:val="14"/>
      </w:rPr>
      <w:t xml:space="preserve"> –</w:t>
    </w:r>
  </w:p>
  <w:p w14:paraId="451FE1D7" w14:textId="77777777" w:rsidR="00236DB5" w:rsidRPr="00ED60F0" w:rsidRDefault="00236DB5" w:rsidP="00412854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BE282" w14:textId="77777777" w:rsidR="00EE523A" w:rsidRPr="00ED60F0" w:rsidRDefault="00EE523A" w:rsidP="00AF2883">
      <w:pPr>
        <w:spacing w:after="0" w:line="240" w:lineRule="auto"/>
      </w:pPr>
      <w:r w:rsidRPr="00ED60F0">
        <w:separator/>
      </w:r>
    </w:p>
  </w:footnote>
  <w:footnote w:type="continuationSeparator" w:id="0">
    <w:p w14:paraId="6CBD96DE" w14:textId="77777777" w:rsidR="00EE523A" w:rsidRPr="00ED60F0" w:rsidRDefault="00EE523A" w:rsidP="00AF2883">
      <w:pPr>
        <w:spacing w:after="0" w:line="240" w:lineRule="auto"/>
      </w:pPr>
      <w:r w:rsidRPr="00ED60F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13FA7" w14:textId="0F608518" w:rsidR="00AF2883" w:rsidRPr="00ED60F0" w:rsidRDefault="00412854">
    <w:pPr>
      <w:pStyle w:val="Kopfzeile"/>
    </w:pPr>
    <w:r w:rsidRPr="00ED60F0">
      <w:rPr>
        <w:noProof/>
      </w:rPr>
      <w:drawing>
        <wp:anchor distT="0" distB="0" distL="114300" distR="114300" simplePos="0" relativeHeight="251659264" behindDoc="0" locked="0" layoutInCell="1" allowOverlap="1" wp14:anchorId="04DE940F" wp14:editId="197325E4">
          <wp:simplePos x="0" y="0"/>
          <wp:positionH relativeFrom="column">
            <wp:posOffset>4982210</wp:posOffset>
          </wp:positionH>
          <wp:positionV relativeFrom="paragraph">
            <wp:posOffset>-243205</wp:posOffset>
          </wp:positionV>
          <wp:extent cx="955040" cy="722630"/>
          <wp:effectExtent l="0" t="0" r="0" b="1270"/>
          <wp:wrapSquare wrapText="bothSides"/>
          <wp:docPr id="532184400" name="Bild 8" descr="RIGK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RIGK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EC7"/>
    <w:multiLevelType w:val="hybridMultilevel"/>
    <w:tmpl w:val="78E8C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5487"/>
    <w:multiLevelType w:val="hybridMultilevel"/>
    <w:tmpl w:val="203C1D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7DA"/>
    <w:multiLevelType w:val="multilevel"/>
    <w:tmpl w:val="5D285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FE609F"/>
    <w:multiLevelType w:val="hybridMultilevel"/>
    <w:tmpl w:val="8648153C"/>
    <w:lvl w:ilvl="0" w:tplc="BDE44724">
      <w:numFmt w:val="bullet"/>
      <w:lvlText w:val=""/>
      <w:lvlJc w:val="left"/>
      <w:pPr>
        <w:ind w:left="720" w:hanging="360"/>
      </w:pPr>
      <w:rPr>
        <w:rFonts w:ascii="Wingdings" w:eastAsia="Aptos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151E8"/>
    <w:multiLevelType w:val="multilevel"/>
    <w:tmpl w:val="1346E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3D3239"/>
    <w:multiLevelType w:val="multilevel"/>
    <w:tmpl w:val="CBF40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4313351">
    <w:abstractNumId w:val="2"/>
  </w:num>
  <w:num w:numId="2" w16cid:durableId="844588610">
    <w:abstractNumId w:val="4"/>
  </w:num>
  <w:num w:numId="3" w16cid:durableId="956564591">
    <w:abstractNumId w:val="5"/>
  </w:num>
  <w:num w:numId="4" w16cid:durableId="261306841">
    <w:abstractNumId w:val="3"/>
  </w:num>
  <w:num w:numId="5" w16cid:durableId="1603680332">
    <w:abstractNumId w:val="0"/>
  </w:num>
  <w:num w:numId="6" w16cid:durableId="920286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0F"/>
    <w:rsid w:val="00003DB4"/>
    <w:rsid w:val="00007172"/>
    <w:rsid w:val="0005621B"/>
    <w:rsid w:val="000655BF"/>
    <w:rsid w:val="0007378D"/>
    <w:rsid w:val="000818B3"/>
    <w:rsid w:val="000B052B"/>
    <w:rsid w:val="000B2F7C"/>
    <w:rsid w:val="0012785C"/>
    <w:rsid w:val="00140F76"/>
    <w:rsid w:val="001560DB"/>
    <w:rsid w:val="001A2EE0"/>
    <w:rsid w:val="001C727F"/>
    <w:rsid w:val="001E063A"/>
    <w:rsid w:val="00204DB8"/>
    <w:rsid w:val="00212001"/>
    <w:rsid w:val="00231E7E"/>
    <w:rsid w:val="00234066"/>
    <w:rsid w:val="00236DB5"/>
    <w:rsid w:val="002411A5"/>
    <w:rsid w:val="00243AD0"/>
    <w:rsid w:val="00250AE3"/>
    <w:rsid w:val="00287D1C"/>
    <w:rsid w:val="00295356"/>
    <w:rsid w:val="002971E2"/>
    <w:rsid w:val="002F12C7"/>
    <w:rsid w:val="002F1A98"/>
    <w:rsid w:val="00303F1C"/>
    <w:rsid w:val="00337B7D"/>
    <w:rsid w:val="003A6806"/>
    <w:rsid w:val="003B58AB"/>
    <w:rsid w:val="003F54FD"/>
    <w:rsid w:val="00404225"/>
    <w:rsid w:val="004066DF"/>
    <w:rsid w:val="00412854"/>
    <w:rsid w:val="00444D51"/>
    <w:rsid w:val="004455D5"/>
    <w:rsid w:val="004475D1"/>
    <w:rsid w:val="00460BD4"/>
    <w:rsid w:val="00471B4B"/>
    <w:rsid w:val="00472C57"/>
    <w:rsid w:val="00477FAB"/>
    <w:rsid w:val="004A7B13"/>
    <w:rsid w:val="004C2393"/>
    <w:rsid w:val="004C5ACA"/>
    <w:rsid w:val="004C79FE"/>
    <w:rsid w:val="004D11DC"/>
    <w:rsid w:val="004D706D"/>
    <w:rsid w:val="004F2A97"/>
    <w:rsid w:val="00505353"/>
    <w:rsid w:val="00513AA2"/>
    <w:rsid w:val="0052143A"/>
    <w:rsid w:val="005214F5"/>
    <w:rsid w:val="00564AB6"/>
    <w:rsid w:val="005A0DCC"/>
    <w:rsid w:val="005C796E"/>
    <w:rsid w:val="00607577"/>
    <w:rsid w:val="0062528A"/>
    <w:rsid w:val="006354FB"/>
    <w:rsid w:val="00666566"/>
    <w:rsid w:val="0067610D"/>
    <w:rsid w:val="00682C05"/>
    <w:rsid w:val="00715956"/>
    <w:rsid w:val="00733B01"/>
    <w:rsid w:val="00742322"/>
    <w:rsid w:val="007C720F"/>
    <w:rsid w:val="0081370E"/>
    <w:rsid w:val="008569B1"/>
    <w:rsid w:val="00866CCF"/>
    <w:rsid w:val="008679A8"/>
    <w:rsid w:val="00872B60"/>
    <w:rsid w:val="00875C54"/>
    <w:rsid w:val="008C5D29"/>
    <w:rsid w:val="008F3C6C"/>
    <w:rsid w:val="00906ADA"/>
    <w:rsid w:val="0091202A"/>
    <w:rsid w:val="009376B1"/>
    <w:rsid w:val="00952A3A"/>
    <w:rsid w:val="0097776C"/>
    <w:rsid w:val="00993DBD"/>
    <w:rsid w:val="009B609A"/>
    <w:rsid w:val="009E547C"/>
    <w:rsid w:val="00A02818"/>
    <w:rsid w:val="00A11395"/>
    <w:rsid w:val="00A12611"/>
    <w:rsid w:val="00A22EDE"/>
    <w:rsid w:val="00A74765"/>
    <w:rsid w:val="00AA454F"/>
    <w:rsid w:val="00AF2883"/>
    <w:rsid w:val="00B10D9F"/>
    <w:rsid w:val="00B56D9C"/>
    <w:rsid w:val="00B63FC9"/>
    <w:rsid w:val="00B661AE"/>
    <w:rsid w:val="00C10CED"/>
    <w:rsid w:val="00CB7A9F"/>
    <w:rsid w:val="00CD0C3B"/>
    <w:rsid w:val="00D37FA1"/>
    <w:rsid w:val="00D609B2"/>
    <w:rsid w:val="00D62BB0"/>
    <w:rsid w:val="00D6522F"/>
    <w:rsid w:val="00DA69EC"/>
    <w:rsid w:val="00DD4295"/>
    <w:rsid w:val="00DF0E72"/>
    <w:rsid w:val="00E041C0"/>
    <w:rsid w:val="00E347BE"/>
    <w:rsid w:val="00E5153E"/>
    <w:rsid w:val="00E9121D"/>
    <w:rsid w:val="00E9413A"/>
    <w:rsid w:val="00EA1888"/>
    <w:rsid w:val="00EC71F3"/>
    <w:rsid w:val="00ED4B7E"/>
    <w:rsid w:val="00ED60F0"/>
    <w:rsid w:val="00EE523A"/>
    <w:rsid w:val="00F06FDD"/>
    <w:rsid w:val="00F144DF"/>
    <w:rsid w:val="00F408CC"/>
    <w:rsid w:val="00F76442"/>
    <w:rsid w:val="00F80C5D"/>
    <w:rsid w:val="00FC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AD35B"/>
  <w15:chartTrackingRefBased/>
  <w15:docId w15:val="{223F581D-CA59-400F-9A45-5051AC3A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7C"/>
  </w:style>
  <w:style w:type="paragraph" w:styleId="berschrift1">
    <w:name w:val="heading 1"/>
    <w:basedOn w:val="Standard"/>
    <w:next w:val="Standard"/>
    <w:link w:val="berschrift1Zchn"/>
    <w:uiPriority w:val="9"/>
    <w:qFormat/>
    <w:rsid w:val="007C72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C7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C72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C72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C72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C72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C72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C72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C72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72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C72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C72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C720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C720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C720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C720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C720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C720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C72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C7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72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72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C72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C720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C720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C720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72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720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C72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C720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720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7C720F"/>
    <w:rPr>
      <w:rFonts w:ascii="Times New Roman" w:hAnsi="Times New Roman" w:cs="Times New Roman"/>
    </w:rPr>
  </w:style>
  <w:style w:type="paragraph" w:styleId="berarbeitung">
    <w:name w:val="Revision"/>
    <w:hidden/>
    <w:uiPriority w:val="99"/>
    <w:semiHidden/>
    <w:rsid w:val="0081370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F2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2883"/>
  </w:style>
  <w:style w:type="paragraph" w:styleId="Fuzeile">
    <w:name w:val="footer"/>
    <w:basedOn w:val="Standard"/>
    <w:link w:val="FuzeileZchn"/>
    <w:uiPriority w:val="99"/>
    <w:unhideWhenUsed/>
    <w:rsid w:val="00AF2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2883"/>
  </w:style>
  <w:style w:type="character" w:styleId="BesuchterLink">
    <w:name w:val="FollowedHyperlink"/>
    <w:basedOn w:val="Absatz-Standardschriftart"/>
    <w:uiPriority w:val="99"/>
    <w:semiHidden/>
    <w:unhideWhenUsed/>
    <w:rsid w:val="0005621B"/>
    <w:rPr>
      <w:color w:val="96607D" w:themeColor="followedHyperlink"/>
      <w:u w:val="single"/>
    </w:rPr>
  </w:style>
  <w:style w:type="table" w:styleId="Tabellenraster">
    <w:name w:val="Table Grid"/>
    <w:basedOn w:val="NormaleTabelle"/>
    <w:uiPriority w:val="39"/>
    <w:rsid w:val="00856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041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041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041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041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041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2062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7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872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1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konsens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il@konsens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igk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auer@rigk.d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gk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3247</Characters>
  <Application>Microsoft Office Word</Application>
  <DocSecurity>0</DocSecurity>
  <Lines>66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Mirco Gattinger</dc:creator>
  <cp:keywords/>
  <dc:description/>
  <cp:lastModifiedBy>Mirco Gattinger</cp:lastModifiedBy>
  <cp:revision>4</cp:revision>
  <cp:lastPrinted>2026-03-26T08:23:00Z</cp:lastPrinted>
  <dcterms:created xsi:type="dcterms:W3CDTF">2026-03-26T09:39:00Z</dcterms:created>
  <dcterms:modified xsi:type="dcterms:W3CDTF">2026-03-26T11:04:00Z</dcterms:modified>
</cp:coreProperties>
</file>